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9EEBCE">
      <w:pPr>
        <w:keepNext w:val="0"/>
        <w:keepLines w:val="0"/>
        <w:pageBreakBefore w:val="0"/>
        <w:widowControl w:val="0"/>
        <w:tabs>
          <w:tab w:val="left" w:pos="628"/>
          <w:tab w:val="center" w:pos="4422"/>
        </w:tabs>
        <w:kinsoku/>
        <w:wordWrap/>
        <w:overflowPunct/>
        <w:topLinePunct w:val="0"/>
        <w:autoSpaceDE/>
        <w:autoSpaceDN/>
        <w:bidi w:val="0"/>
        <w:adjustRightInd/>
        <w:snapToGrid/>
        <w:spacing w:line="400" w:lineRule="exact"/>
        <w:contextualSpacing/>
        <w:jc w:val="left"/>
        <w:textAlignment w:val="auto"/>
        <w:rPr>
          <w:rFonts w:hint="eastAsia" w:ascii="仿宋_GB2312" w:hAnsi="宋体" w:cs="宋体"/>
          <w:b/>
          <w:bCs/>
          <w:spacing w:val="0"/>
          <w:kern w:val="0"/>
          <w:sz w:val="44"/>
          <w:szCs w:val="36"/>
          <w:lang w:bidi="ar-SA"/>
        </w:rPr>
      </w:pPr>
      <w:r>
        <w:rPr>
          <w:rFonts w:ascii="宋体" w:hAnsi="宋体" w:eastAsia="宋体" w:cs="宋体"/>
          <w:b/>
          <w:bCs/>
          <w:spacing w:val="0"/>
          <w:kern w:val="0"/>
          <w:sz w:val="44"/>
          <w:szCs w:val="36"/>
          <w:lang w:bidi="ar-SA"/>
        </w:rPr>
        <w:tab/>
      </w:r>
    </w:p>
    <w:p w14:paraId="277762D7">
      <w:pPr>
        <w:keepNext w:val="0"/>
        <w:keepLines w:val="0"/>
        <w:pageBreakBefore w:val="0"/>
        <w:widowControl w:val="0"/>
        <w:tabs>
          <w:tab w:val="left" w:pos="628"/>
          <w:tab w:val="center" w:pos="4422"/>
        </w:tabs>
        <w:kinsoku/>
        <w:wordWrap/>
        <w:overflowPunct/>
        <w:topLinePunct w:val="0"/>
        <w:autoSpaceDE/>
        <w:autoSpaceDN/>
        <w:bidi w:val="0"/>
        <w:adjustRightInd/>
        <w:snapToGrid/>
        <w:spacing w:after="292" w:afterLines="50" w:line="520" w:lineRule="exact"/>
        <w:contextualSpacing/>
        <w:jc w:val="center"/>
        <w:textAlignment w:val="auto"/>
        <w:rPr>
          <w:rFonts w:hint="eastAsia" w:ascii="华文中宋" w:hAnsi="华文中宋" w:eastAsia="华文中宋" w:cs="华文中宋"/>
          <w:b/>
          <w:bCs/>
          <w:spacing w:val="-11"/>
          <w:kern w:val="0"/>
          <w:sz w:val="30"/>
          <w:szCs w:val="30"/>
          <w:lang w:bidi="ar-SA"/>
        </w:rPr>
      </w:pPr>
      <w:bookmarkStart w:id="0" w:name="_GoBack"/>
      <w:r>
        <w:rPr>
          <w:rFonts w:hint="eastAsia" w:ascii="华文中宋" w:hAnsi="华文中宋" w:eastAsia="华文中宋" w:cs="华文中宋"/>
          <w:b/>
          <w:bCs/>
          <w:spacing w:val="-11"/>
          <w:kern w:val="0"/>
          <w:sz w:val="44"/>
          <w:szCs w:val="36"/>
          <w:lang w:bidi="ar-SA"/>
        </w:rPr>
        <w:t>韶关市建设工程</w:t>
      </w:r>
      <w:r>
        <w:rPr>
          <w:rFonts w:hint="eastAsia" w:ascii="华文中宋" w:hAnsi="华文中宋" w:eastAsia="华文中宋" w:cs="华文中宋"/>
          <w:b/>
          <w:bCs/>
          <w:spacing w:val="-11"/>
          <w:kern w:val="0"/>
          <w:sz w:val="44"/>
          <w:szCs w:val="36"/>
          <w:lang w:val="en-US" w:eastAsia="zh-CN" w:bidi="ar-SA"/>
        </w:rPr>
        <w:t>结构质量水平评价</w:t>
      </w:r>
      <w:r>
        <w:rPr>
          <w:rFonts w:hint="eastAsia" w:ascii="华文中宋" w:hAnsi="华文中宋" w:eastAsia="华文中宋" w:cs="华文中宋"/>
          <w:b/>
          <w:bCs/>
          <w:spacing w:val="-11"/>
          <w:kern w:val="0"/>
          <w:sz w:val="44"/>
          <w:szCs w:val="36"/>
          <w:lang w:bidi="ar-SA"/>
        </w:rPr>
        <w:t>办法</w:t>
      </w:r>
      <w:bookmarkEnd w:id="0"/>
    </w:p>
    <w:p w14:paraId="5525706B">
      <w:pPr>
        <w:keepNext w:val="0"/>
        <w:keepLines w:val="0"/>
        <w:pageBreakBefore w:val="0"/>
        <w:widowControl w:val="0"/>
        <w:tabs>
          <w:tab w:val="left" w:pos="628"/>
          <w:tab w:val="center" w:pos="4422"/>
        </w:tabs>
        <w:kinsoku/>
        <w:wordWrap/>
        <w:overflowPunct/>
        <w:topLinePunct w:val="0"/>
        <w:autoSpaceDE/>
        <w:autoSpaceDN/>
        <w:bidi w:val="0"/>
        <w:adjustRightInd/>
        <w:snapToGrid/>
        <w:spacing w:before="292" w:beforeLines="50" w:after="292" w:afterLines="50" w:line="520" w:lineRule="exact"/>
        <w:contextualSpacing/>
        <w:jc w:val="center"/>
        <w:textAlignment w:val="auto"/>
        <w:rPr>
          <w:rFonts w:hint="default" w:ascii="华文中宋" w:hAnsi="华文中宋" w:eastAsia="华文中宋" w:cs="华文中宋"/>
          <w:b w:val="0"/>
          <w:bCs w:val="0"/>
          <w:spacing w:val="-11"/>
          <w:kern w:val="0"/>
          <w:sz w:val="30"/>
          <w:szCs w:val="30"/>
          <w:lang w:val="en-US" w:eastAsia="zh-CN" w:bidi="ar-SA"/>
        </w:rPr>
      </w:pPr>
      <w:r>
        <w:rPr>
          <w:rFonts w:hint="eastAsia" w:ascii="华文中宋" w:hAnsi="华文中宋" w:eastAsia="华文中宋" w:cs="华文中宋"/>
          <w:b w:val="0"/>
          <w:bCs w:val="0"/>
          <w:spacing w:val="-11"/>
          <w:kern w:val="0"/>
          <w:sz w:val="30"/>
          <w:szCs w:val="30"/>
          <w:lang w:eastAsia="zh-CN" w:bidi="ar-SA"/>
        </w:rPr>
        <w:t>（</w:t>
      </w:r>
      <w:r>
        <w:rPr>
          <w:rFonts w:hint="eastAsia" w:ascii="华文中宋" w:hAnsi="华文中宋" w:eastAsia="华文中宋" w:cs="华文中宋"/>
          <w:b w:val="0"/>
          <w:bCs w:val="0"/>
          <w:spacing w:val="-11"/>
          <w:kern w:val="0"/>
          <w:sz w:val="30"/>
          <w:szCs w:val="30"/>
          <w:lang w:val="en-US" w:eastAsia="zh-CN" w:bidi="ar-SA"/>
        </w:rPr>
        <w:t>试 行）</w:t>
      </w:r>
    </w:p>
    <w:p w14:paraId="46F65E41">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宋体" w:cs="宋体"/>
          <w:b/>
          <w:bCs/>
          <w:color w:val="auto"/>
          <w:spacing w:val="0"/>
          <w:kern w:val="0"/>
          <w:sz w:val="30"/>
          <w:szCs w:val="30"/>
          <w:lang w:bidi="ar-SA"/>
        </w:rPr>
      </w:pPr>
    </w:p>
    <w:p w14:paraId="140F4BFB">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contextualSpacing/>
        <w:jc w:val="center"/>
        <w:textAlignment w:val="auto"/>
        <w:outlineLvl w:val="9"/>
        <w:rPr>
          <w:rFonts w:hint="eastAsia" w:ascii="仿宋_GB2312" w:hAnsi="黑体" w:cs="宋体"/>
          <w:b/>
          <w:color w:val="auto"/>
          <w:spacing w:val="0"/>
          <w:kern w:val="0"/>
          <w:lang w:bidi="ar-SA"/>
        </w:rPr>
      </w:pPr>
      <w:r>
        <w:rPr>
          <w:rFonts w:hint="eastAsia" w:ascii="仿宋_GB2312" w:hAnsi="黑体" w:cs="宋体"/>
          <w:b/>
          <w:bCs/>
          <w:color w:val="auto"/>
          <w:spacing w:val="0"/>
          <w:kern w:val="0"/>
          <w:lang w:bidi="ar-SA"/>
        </w:rPr>
        <w:t>第一章  总  则</w:t>
      </w:r>
    </w:p>
    <w:p w14:paraId="7883D2F3">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b/>
          <w:color w:val="auto"/>
          <w:spacing w:val="0"/>
          <w:kern w:val="0"/>
          <w:lang w:bidi="ar-SA"/>
        </w:rPr>
        <w:t>第一条</w:t>
      </w:r>
      <w:r>
        <w:rPr>
          <w:rFonts w:hint="eastAsia" w:ascii="仿宋_GB2312" w:hAnsi="仿宋" w:cs="宋体"/>
          <w:color w:val="auto"/>
          <w:spacing w:val="0"/>
          <w:kern w:val="0"/>
          <w:lang w:bidi="ar-SA"/>
        </w:rPr>
        <w:t xml:space="preserve">  为贯彻落实《中华人民共和国建筑法》</w:t>
      </w:r>
      <w:r>
        <w:rPr>
          <w:rFonts w:hint="eastAsia" w:ascii="仿宋_GB2312" w:hAnsi="仿宋" w:cs="宋体"/>
          <w:color w:val="auto"/>
          <w:spacing w:val="0"/>
          <w:kern w:val="0"/>
          <w:lang w:eastAsia="zh-CN" w:bidi="ar-SA"/>
        </w:rPr>
        <w:t>、</w:t>
      </w:r>
      <w:r>
        <w:rPr>
          <w:rFonts w:hint="eastAsia" w:ascii="仿宋_GB2312" w:hAnsi="仿宋" w:cs="宋体"/>
          <w:color w:val="auto"/>
          <w:spacing w:val="0"/>
          <w:kern w:val="0"/>
          <w:lang w:bidi="ar-SA"/>
        </w:rPr>
        <w:t>《建设工程质量管理条例》，坚持“百年大计、质量第一”的方针，引导和激励工程参建各方加强过程控制，保证结构安全，提高建设工程质量水平，结合我市实际，制定本办法。</w:t>
      </w:r>
    </w:p>
    <w:p w14:paraId="5E352AEF">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b/>
          <w:color w:val="auto"/>
          <w:spacing w:val="0"/>
          <w:kern w:val="0"/>
          <w:lang w:bidi="ar-SA"/>
        </w:rPr>
        <w:t>第二条</w:t>
      </w:r>
      <w:r>
        <w:rPr>
          <w:rFonts w:hint="eastAsia" w:ascii="仿宋_GB2312" w:hAnsi="仿宋" w:cs="宋体"/>
          <w:color w:val="auto"/>
          <w:spacing w:val="0"/>
          <w:kern w:val="0"/>
          <w:lang w:bidi="ar-SA"/>
        </w:rPr>
        <w:t xml:space="preserve">  韶关市建设工程</w:t>
      </w:r>
      <w:r>
        <w:rPr>
          <w:rFonts w:hint="eastAsia" w:ascii="仿宋_GB2312" w:hAnsi="仿宋" w:cs="宋体"/>
          <w:color w:val="auto"/>
          <w:spacing w:val="0"/>
          <w:kern w:val="0"/>
          <w:lang w:val="en-US" w:eastAsia="zh-CN" w:bidi="ar-SA"/>
        </w:rPr>
        <w:t>结构质量水平评价</w:t>
      </w:r>
      <w:r>
        <w:rPr>
          <w:rFonts w:hint="eastAsia" w:ascii="仿宋_GB2312" w:hAnsi="仿宋" w:cs="宋体"/>
          <w:color w:val="auto"/>
          <w:spacing w:val="0"/>
          <w:kern w:val="0"/>
          <w:lang w:bidi="ar-SA"/>
        </w:rPr>
        <w:t>（以下简称“市</w:t>
      </w:r>
      <w:r>
        <w:rPr>
          <w:rFonts w:hint="eastAsia" w:ascii="仿宋_GB2312" w:hAnsi="仿宋" w:cs="宋体"/>
          <w:color w:val="auto"/>
          <w:spacing w:val="0"/>
          <w:kern w:val="0"/>
          <w:lang w:val="en-US" w:eastAsia="zh-CN" w:bidi="ar-SA"/>
        </w:rPr>
        <w:t>结构质量水平评价</w:t>
      </w:r>
      <w:r>
        <w:rPr>
          <w:rFonts w:hint="eastAsia" w:ascii="仿宋_GB2312" w:hAnsi="仿宋" w:cs="宋体"/>
          <w:color w:val="auto"/>
          <w:spacing w:val="0"/>
          <w:kern w:val="0"/>
          <w:lang w:bidi="ar-SA"/>
        </w:rPr>
        <w:t>”）评</w:t>
      </w:r>
      <w:r>
        <w:rPr>
          <w:rFonts w:hint="eastAsia" w:ascii="仿宋_GB2312" w:hAnsi="仿宋" w:cs="宋体"/>
          <w:color w:val="auto"/>
          <w:spacing w:val="0"/>
          <w:kern w:val="0"/>
          <w:lang w:val="en-US" w:eastAsia="zh-CN" w:bidi="ar-SA"/>
        </w:rPr>
        <w:t>价</w:t>
      </w:r>
      <w:r>
        <w:rPr>
          <w:rFonts w:hint="eastAsia" w:ascii="仿宋_GB2312" w:hAnsi="仿宋" w:cs="宋体"/>
          <w:color w:val="auto"/>
          <w:spacing w:val="0"/>
          <w:kern w:val="0"/>
          <w:lang w:bidi="ar-SA"/>
        </w:rPr>
        <w:t>对象为我市行政区域内依法建设的建设工程项目。</w:t>
      </w:r>
      <w:r>
        <w:rPr>
          <w:rFonts w:hint="eastAsia" w:ascii="仿宋_GB2312"/>
        </w:rPr>
        <w:t>由韶关市建筑协会组织实施，每年</w:t>
      </w:r>
      <w:r>
        <w:rPr>
          <w:rFonts w:hint="eastAsia" w:ascii="仿宋_GB2312"/>
          <w:lang w:val="en-US" w:eastAsia="zh-CN"/>
        </w:rPr>
        <w:t>动态申报</w:t>
      </w:r>
      <w:r>
        <w:rPr>
          <w:rFonts w:hint="eastAsia" w:ascii="仿宋_GB2312"/>
        </w:rPr>
        <w:t>。评</w:t>
      </w:r>
      <w:r>
        <w:rPr>
          <w:rFonts w:hint="eastAsia" w:ascii="仿宋_GB2312"/>
          <w:lang w:val="en-US" w:eastAsia="zh-CN"/>
        </w:rPr>
        <w:t>价</w:t>
      </w:r>
      <w:r>
        <w:rPr>
          <w:rFonts w:hint="eastAsia" w:ascii="仿宋_GB2312"/>
        </w:rPr>
        <w:t>活动接受市住房和城乡建设管理局的业务</w:t>
      </w:r>
      <w:r>
        <w:rPr>
          <w:rFonts w:hint="eastAsia" w:ascii="仿宋_GB2312"/>
          <w:lang w:val="en-US" w:eastAsia="zh-CN"/>
        </w:rPr>
        <w:t>监督和</w:t>
      </w:r>
      <w:r>
        <w:rPr>
          <w:rFonts w:hint="eastAsia" w:ascii="仿宋_GB2312"/>
        </w:rPr>
        <w:t>指导</w:t>
      </w:r>
      <w:r>
        <w:rPr>
          <w:rFonts w:hint="eastAsia" w:ascii="仿宋_GB2312"/>
          <w:lang w:eastAsia="zh-CN"/>
        </w:rPr>
        <w:t>，</w:t>
      </w:r>
      <w:r>
        <w:rPr>
          <w:rFonts w:hint="eastAsia" w:ascii="仿宋_GB2312" w:hAnsi="仿宋" w:cs="宋体"/>
          <w:color w:val="auto"/>
          <w:spacing w:val="0"/>
          <w:kern w:val="0"/>
          <w:lang w:bidi="ar-SA"/>
        </w:rPr>
        <w:t>评</w:t>
      </w:r>
      <w:r>
        <w:rPr>
          <w:rFonts w:hint="eastAsia" w:ascii="仿宋_GB2312" w:hAnsi="仿宋" w:cs="宋体"/>
          <w:color w:val="auto"/>
          <w:spacing w:val="0"/>
          <w:kern w:val="0"/>
          <w:lang w:val="en-US" w:eastAsia="zh-CN" w:bidi="ar-SA"/>
        </w:rPr>
        <w:t>价</w:t>
      </w:r>
      <w:r>
        <w:rPr>
          <w:rFonts w:hint="eastAsia" w:ascii="仿宋_GB2312" w:hAnsi="仿宋" w:cs="宋体"/>
          <w:color w:val="auto"/>
          <w:spacing w:val="0"/>
          <w:kern w:val="0"/>
          <w:lang w:bidi="ar-SA"/>
        </w:rPr>
        <w:t>结果报市住房和城乡建设管理局备案。</w:t>
      </w:r>
    </w:p>
    <w:p w14:paraId="471430CD">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b/>
          <w:color w:val="auto"/>
          <w:spacing w:val="0"/>
          <w:kern w:val="0"/>
          <w:lang w:bidi="ar-SA"/>
        </w:rPr>
        <w:t>第三条</w:t>
      </w:r>
      <w:r>
        <w:rPr>
          <w:rFonts w:hint="eastAsia" w:ascii="仿宋_GB2312" w:hAnsi="仿宋" w:cs="宋体"/>
          <w:color w:val="auto"/>
          <w:spacing w:val="0"/>
          <w:kern w:val="0"/>
          <w:lang w:bidi="ar-SA"/>
        </w:rPr>
        <w:t xml:space="preserve"> 市</w:t>
      </w:r>
      <w:r>
        <w:rPr>
          <w:rFonts w:hint="eastAsia" w:ascii="仿宋_GB2312" w:hAnsi="仿宋" w:cs="宋体"/>
          <w:color w:val="auto"/>
          <w:spacing w:val="0"/>
          <w:kern w:val="0"/>
          <w:lang w:val="en-US" w:eastAsia="zh-CN" w:bidi="ar-SA"/>
        </w:rPr>
        <w:t>结构质量水平评价</w:t>
      </w:r>
      <w:r>
        <w:rPr>
          <w:rFonts w:hint="eastAsia" w:ascii="仿宋_GB2312" w:hAnsi="仿宋" w:cs="宋体"/>
          <w:color w:val="auto"/>
          <w:spacing w:val="0"/>
          <w:kern w:val="0"/>
          <w:lang w:bidi="ar-SA"/>
        </w:rPr>
        <w:t>由施工总承包企业按项目属地原则自愿申报。工程所在地县（市）建筑业协会择优向市建筑协会推荐参评项目，市区工程直接报送市建筑协会。</w:t>
      </w:r>
    </w:p>
    <w:p w14:paraId="28534A1C">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b/>
          <w:color w:val="auto"/>
          <w:spacing w:val="0"/>
          <w:kern w:val="0"/>
          <w:lang w:bidi="ar-SA"/>
        </w:rPr>
        <w:t>第四条</w:t>
      </w:r>
      <w:r>
        <w:rPr>
          <w:rFonts w:hint="eastAsia" w:ascii="仿宋_GB2312" w:hAnsi="仿宋" w:cs="宋体"/>
          <w:color w:val="auto"/>
          <w:spacing w:val="0"/>
          <w:kern w:val="0"/>
          <w:lang w:bidi="ar-SA"/>
        </w:rPr>
        <w:t xml:space="preserve"> 韶关市建筑协会负责市</w:t>
      </w:r>
      <w:r>
        <w:rPr>
          <w:rFonts w:hint="eastAsia" w:ascii="仿宋_GB2312" w:hAnsi="仿宋" w:cs="宋体"/>
          <w:color w:val="auto"/>
          <w:spacing w:val="0"/>
          <w:kern w:val="0"/>
          <w:lang w:val="en-US" w:eastAsia="zh-CN" w:bidi="ar-SA"/>
        </w:rPr>
        <w:t>结构质量水平评价</w:t>
      </w:r>
      <w:r>
        <w:rPr>
          <w:rFonts w:hint="eastAsia" w:ascii="仿宋_GB2312" w:hAnsi="仿宋" w:cs="宋体"/>
          <w:color w:val="auto"/>
          <w:spacing w:val="0"/>
          <w:kern w:val="0"/>
          <w:lang w:bidi="ar-SA"/>
        </w:rPr>
        <w:t>的组织工作，市</w:t>
      </w:r>
      <w:r>
        <w:rPr>
          <w:rFonts w:hint="eastAsia" w:ascii="仿宋_GB2312" w:hAnsi="仿宋" w:cs="宋体"/>
          <w:color w:val="auto"/>
          <w:spacing w:val="0"/>
          <w:kern w:val="0"/>
          <w:lang w:val="en-US" w:eastAsia="zh-CN" w:bidi="ar-SA"/>
        </w:rPr>
        <w:t>结构质量水平评价项目</w:t>
      </w:r>
      <w:r>
        <w:rPr>
          <w:rFonts w:hint="eastAsia" w:ascii="仿宋_GB2312" w:hAnsi="仿宋" w:cs="宋体"/>
          <w:color w:val="auto"/>
          <w:spacing w:val="0"/>
          <w:kern w:val="0"/>
          <w:lang w:bidi="ar-SA"/>
        </w:rPr>
        <w:t>每年</w:t>
      </w:r>
      <w:r>
        <w:rPr>
          <w:rFonts w:hint="eastAsia" w:ascii="仿宋_GB2312" w:hAnsi="仿宋" w:cs="宋体"/>
          <w:color w:val="auto"/>
          <w:spacing w:val="0"/>
          <w:kern w:val="0"/>
          <w:lang w:val="en-US" w:eastAsia="zh-CN" w:bidi="ar-SA"/>
        </w:rPr>
        <w:t>公布两次</w:t>
      </w:r>
      <w:r>
        <w:rPr>
          <w:rFonts w:hint="eastAsia" w:ascii="仿宋_GB2312" w:hAnsi="仿宋"/>
          <w:bCs/>
          <w:color w:val="auto"/>
          <w:spacing w:val="0"/>
          <w:lang w:bidi="ar-SA"/>
        </w:rPr>
        <w:t>。</w:t>
      </w:r>
    </w:p>
    <w:p w14:paraId="663A2B2F">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contextualSpacing/>
        <w:jc w:val="center"/>
        <w:textAlignment w:val="auto"/>
        <w:outlineLvl w:val="9"/>
        <w:rPr>
          <w:rFonts w:hint="eastAsia" w:ascii="仿宋_GB2312" w:hAnsi="黑体" w:cs="宋体"/>
          <w:b/>
          <w:bCs/>
          <w:color w:val="auto"/>
          <w:spacing w:val="0"/>
          <w:kern w:val="0"/>
          <w:lang w:bidi="ar-SA"/>
        </w:rPr>
      </w:pPr>
      <w:r>
        <w:rPr>
          <w:rFonts w:hint="eastAsia" w:ascii="仿宋_GB2312" w:hAnsi="黑体" w:cs="宋体"/>
          <w:b/>
          <w:bCs/>
          <w:color w:val="auto"/>
          <w:spacing w:val="0"/>
          <w:kern w:val="0"/>
          <w:lang w:bidi="ar-SA"/>
        </w:rPr>
        <w:t>第二章  申报条件、范围</w:t>
      </w:r>
    </w:p>
    <w:p w14:paraId="75BDCA37">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b/>
          <w:color w:val="auto"/>
          <w:spacing w:val="0"/>
          <w:kern w:val="0"/>
          <w:lang w:bidi="ar-SA"/>
        </w:rPr>
        <w:t>第五条</w:t>
      </w:r>
      <w:r>
        <w:rPr>
          <w:rFonts w:hint="eastAsia" w:ascii="仿宋_GB2312" w:hAnsi="仿宋" w:cs="宋体"/>
          <w:color w:val="auto"/>
          <w:spacing w:val="0"/>
          <w:kern w:val="0"/>
          <w:lang w:bidi="ar-SA"/>
        </w:rPr>
        <w:t xml:space="preserve">  申报条件</w:t>
      </w:r>
    </w:p>
    <w:p w14:paraId="0D0124F5">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申报市</w:t>
      </w:r>
      <w:r>
        <w:rPr>
          <w:rFonts w:hint="eastAsia" w:ascii="仿宋_GB2312" w:hAnsi="仿宋" w:cs="宋体"/>
          <w:color w:val="auto"/>
          <w:spacing w:val="0"/>
          <w:kern w:val="0"/>
          <w:lang w:val="en-US" w:eastAsia="zh-CN" w:bidi="ar-SA"/>
        </w:rPr>
        <w:t>结构质量水平评价</w:t>
      </w:r>
      <w:r>
        <w:rPr>
          <w:rFonts w:hint="eastAsia" w:ascii="仿宋_GB2312" w:hAnsi="仿宋" w:cs="宋体"/>
          <w:color w:val="auto"/>
          <w:spacing w:val="0"/>
          <w:kern w:val="0"/>
          <w:lang w:bidi="ar-SA"/>
        </w:rPr>
        <w:t>的工程项目，须具备下列条件：</w:t>
      </w:r>
    </w:p>
    <w:p w14:paraId="00A66F49">
      <w:pPr>
        <w:keepNext w:val="0"/>
        <w:keepLines w:val="0"/>
        <w:pageBreakBefore w:val="0"/>
        <w:widowControl w:val="0"/>
        <w:kinsoku/>
        <w:wordWrap/>
        <w:overflowPunct/>
        <w:topLinePunct w:val="0"/>
        <w:autoSpaceDE/>
        <w:autoSpaceDN/>
        <w:bidi w:val="0"/>
        <w:adjustRightInd w:val="0"/>
        <w:snapToGrid w:val="0"/>
        <w:spacing w:line="640" w:lineRule="exact"/>
        <w:ind w:right="0" w:rightChars="0" w:firstLine="326" w:firstLineChars="1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（一）符合基本建设程序，符合国家和省、市有关工程建设和质量管理的法律、法规、标准和规定；</w:t>
      </w:r>
    </w:p>
    <w:p w14:paraId="61A93B80">
      <w:pPr>
        <w:keepNext w:val="0"/>
        <w:keepLines w:val="0"/>
        <w:pageBreakBefore w:val="0"/>
        <w:widowControl w:val="0"/>
        <w:kinsoku/>
        <w:wordWrap/>
        <w:overflowPunct/>
        <w:topLinePunct w:val="0"/>
        <w:autoSpaceDE/>
        <w:autoSpaceDN/>
        <w:bidi w:val="0"/>
        <w:adjustRightInd w:val="0"/>
        <w:snapToGrid w:val="0"/>
        <w:spacing w:line="640" w:lineRule="exact"/>
        <w:ind w:right="0" w:rightChars="0" w:firstLine="326" w:firstLineChars="1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（二）工程结构设计科学合理，经施工图审查机构审查合格；</w:t>
      </w:r>
    </w:p>
    <w:p w14:paraId="36E13C52">
      <w:pPr>
        <w:keepNext w:val="0"/>
        <w:keepLines w:val="0"/>
        <w:pageBreakBefore w:val="0"/>
        <w:widowControl w:val="0"/>
        <w:kinsoku/>
        <w:wordWrap/>
        <w:overflowPunct/>
        <w:topLinePunct w:val="0"/>
        <w:autoSpaceDE/>
        <w:autoSpaceDN/>
        <w:bidi w:val="0"/>
        <w:adjustRightInd w:val="0"/>
        <w:snapToGrid w:val="0"/>
        <w:spacing w:line="640" w:lineRule="exact"/>
        <w:ind w:right="0" w:rightChars="0" w:firstLine="326" w:firstLineChars="1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（三）施工管理规范，有科学合理的施工组织设计及施工方案、结构工程创优计划和可行的质量保证措施，符合节能环保、绿色施工要求；</w:t>
      </w:r>
    </w:p>
    <w:p w14:paraId="482DFB27">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318" w:firstLineChars="98"/>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（四）过程控制严格有效，施工工艺和实体质量符合设计图纸和有关规范、规程、标准的要求，施工过程中严格按照有关规定组织验收，各项技术保证资料齐全、真实、有效，无违反工程建设强制性标准的情况；</w:t>
      </w:r>
    </w:p>
    <w:p w14:paraId="79F86C86">
      <w:pPr>
        <w:keepNext w:val="0"/>
        <w:keepLines w:val="0"/>
        <w:pageBreakBefore w:val="0"/>
        <w:widowControl w:val="0"/>
        <w:kinsoku/>
        <w:wordWrap/>
        <w:overflowPunct/>
        <w:topLinePunct w:val="0"/>
        <w:autoSpaceDE/>
        <w:autoSpaceDN/>
        <w:bidi w:val="0"/>
        <w:adjustRightInd w:val="0"/>
        <w:snapToGrid w:val="0"/>
        <w:spacing w:line="640" w:lineRule="exact"/>
        <w:ind w:right="0" w:rightChars="0" w:firstLine="326" w:firstLineChars="1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（五）科技含量较高，应用三项以上“建筑业十项新技术”；</w:t>
      </w:r>
    </w:p>
    <w:p w14:paraId="1B180697">
      <w:pPr>
        <w:keepNext w:val="0"/>
        <w:keepLines w:val="0"/>
        <w:pageBreakBefore w:val="0"/>
        <w:widowControl w:val="0"/>
        <w:kinsoku/>
        <w:wordWrap/>
        <w:overflowPunct/>
        <w:topLinePunct w:val="0"/>
        <w:autoSpaceDE/>
        <w:autoSpaceDN/>
        <w:bidi w:val="0"/>
        <w:adjustRightInd w:val="0"/>
        <w:snapToGrid w:val="0"/>
        <w:spacing w:line="640" w:lineRule="exact"/>
        <w:ind w:right="0" w:rightChars="0" w:firstLine="326" w:firstLineChars="1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（六）施工过程中未发生过质量事故、较大以上生产安全事故以及在社会上造成恶劣影响的其他事件。</w:t>
      </w:r>
    </w:p>
    <w:p w14:paraId="1C27D06A">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19" w:firstLineChars="190"/>
        <w:contextualSpacing/>
        <w:textAlignment w:val="auto"/>
        <w:outlineLvl w:val="9"/>
        <w:rPr>
          <w:rFonts w:hint="eastAsia" w:ascii="仿宋_GB2312" w:hAnsi="仿宋" w:cs="宋体"/>
          <w:color w:val="auto"/>
          <w:spacing w:val="0"/>
          <w:kern w:val="0"/>
          <w:lang w:bidi="ar-SA"/>
        </w:rPr>
      </w:pPr>
      <w:r>
        <w:rPr>
          <w:rFonts w:hint="eastAsia" w:ascii="仿宋_GB2312" w:hAnsi="仿宋" w:cs="宋体"/>
          <w:b/>
          <w:color w:val="auto"/>
          <w:spacing w:val="0"/>
          <w:kern w:val="0"/>
          <w:lang w:bidi="ar-SA"/>
        </w:rPr>
        <w:t>第六条</w:t>
      </w:r>
      <w:r>
        <w:rPr>
          <w:rFonts w:hint="eastAsia" w:ascii="仿宋_GB2312" w:hAnsi="仿宋" w:cs="宋体"/>
          <w:color w:val="auto"/>
          <w:spacing w:val="0"/>
          <w:kern w:val="0"/>
          <w:lang w:bidi="ar-SA"/>
        </w:rPr>
        <w:t xml:space="preserve">  申报范围</w:t>
      </w:r>
    </w:p>
    <w:p w14:paraId="204EA823">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凡在本市行政区域内建设的具有独立生产和使用功能的下列建设工程，均可申报市结构</w:t>
      </w:r>
      <w:r>
        <w:rPr>
          <w:rFonts w:hint="eastAsia" w:ascii="仿宋_GB2312" w:hAnsi="仿宋" w:cs="宋体"/>
          <w:color w:val="auto"/>
          <w:spacing w:val="0"/>
          <w:kern w:val="0"/>
          <w:lang w:val="en-US" w:eastAsia="zh-CN" w:bidi="ar-SA"/>
        </w:rPr>
        <w:t>质量水平评价项目</w:t>
      </w:r>
      <w:r>
        <w:rPr>
          <w:rFonts w:hint="eastAsia" w:ascii="仿宋_GB2312" w:hAnsi="仿宋" w:cs="宋体"/>
          <w:color w:val="auto"/>
          <w:spacing w:val="0"/>
          <w:kern w:val="0"/>
          <w:lang w:bidi="ar-SA"/>
        </w:rPr>
        <w:t>。</w:t>
      </w:r>
    </w:p>
    <w:p w14:paraId="29AD618C">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1．有120间以上客房的旅业工程，</w:t>
      </w:r>
      <w:r>
        <w:rPr>
          <w:rFonts w:hint="eastAsia" w:ascii="仿宋_GB2312" w:hAnsi="仿宋" w:cs="宋体"/>
          <w:color w:val="auto"/>
          <w:spacing w:val="0"/>
          <w:kern w:val="0"/>
          <w:lang w:val="en-US" w:eastAsia="zh-CN" w:bidi="ar-SA"/>
        </w:rPr>
        <w:t>1000</w:t>
      </w:r>
      <w:r>
        <w:rPr>
          <w:rFonts w:hint="eastAsia" w:ascii="仿宋_GB2312" w:hAnsi="仿宋" w:cs="宋体"/>
          <w:color w:val="auto"/>
          <w:spacing w:val="0"/>
          <w:kern w:val="0"/>
          <w:lang w:bidi="ar-SA"/>
        </w:rPr>
        <w:t>座位以上的体育馆，</w:t>
      </w:r>
      <w:r>
        <w:rPr>
          <w:rFonts w:hint="eastAsia" w:ascii="仿宋_GB2312" w:hAnsi="仿宋" w:cs="宋体"/>
          <w:color w:val="auto"/>
          <w:spacing w:val="0"/>
          <w:kern w:val="0"/>
          <w:lang w:val="en-US" w:eastAsia="zh-CN" w:bidi="ar-SA"/>
        </w:rPr>
        <w:t>15</w:t>
      </w:r>
      <w:r>
        <w:rPr>
          <w:rFonts w:hint="eastAsia" w:ascii="仿宋_GB2312" w:hAnsi="仿宋" w:cs="宋体"/>
          <w:color w:val="auto"/>
          <w:spacing w:val="0"/>
          <w:kern w:val="0"/>
          <w:lang w:bidi="ar-SA"/>
        </w:rPr>
        <w:t>00座位以上的体育场、</w:t>
      </w:r>
      <w:r>
        <w:rPr>
          <w:rFonts w:hint="eastAsia" w:ascii="仿宋_GB2312" w:hAnsi="仿宋" w:cs="宋体"/>
          <w:color w:val="auto"/>
          <w:spacing w:val="0"/>
          <w:kern w:val="0"/>
          <w:lang w:val="en-US" w:eastAsia="zh-CN" w:bidi="ar-SA"/>
        </w:rPr>
        <w:t>2</w:t>
      </w:r>
      <w:r>
        <w:rPr>
          <w:rFonts w:hint="eastAsia" w:ascii="仿宋_GB2312" w:hAnsi="仿宋" w:cs="宋体"/>
          <w:color w:val="auto"/>
          <w:spacing w:val="0"/>
          <w:kern w:val="0"/>
          <w:lang w:bidi="ar-SA"/>
        </w:rPr>
        <w:t>00座位以上的影剧院或礼堂，</w:t>
      </w:r>
      <w:r>
        <w:rPr>
          <w:rFonts w:hint="eastAsia" w:ascii="仿宋_GB2312" w:hAnsi="仿宋" w:cs="宋体"/>
          <w:color w:val="auto"/>
          <w:spacing w:val="0"/>
          <w:kern w:val="0"/>
          <w:lang w:eastAsia="zh-CN" w:bidi="ar-SA"/>
        </w:rPr>
        <w:t>单体</w:t>
      </w:r>
      <w:r>
        <w:rPr>
          <w:rFonts w:hint="eastAsia" w:ascii="仿宋_GB2312" w:hAnsi="仿宋" w:cs="宋体"/>
          <w:color w:val="auto"/>
          <w:spacing w:val="0"/>
          <w:kern w:val="0"/>
          <w:lang w:bidi="ar-SA"/>
        </w:rPr>
        <w:t>建筑面积在3000平方米以上的商住工程，以及</w:t>
      </w:r>
      <w:r>
        <w:rPr>
          <w:rFonts w:hint="eastAsia" w:ascii="仿宋_GB2312" w:hAnsi="仿宋" w:cs="宋体"/>
          <w:color w:val="auto"/>
          <w:spacing w:val="0"/>
          <w:kern w:val="0"/>
          <w:lang w:eastAsia="zh-CN" w:bidi="ar-SA"/>
        </w:rPr>
        <w:t>单体</w:t>
      </w:r>
      <w:r>
        <w:rPr>
          <w:rFonts w:hint="eastAsia" w:ascii="仿宋_GB2312" w:hAnsi="仿宋" w:cs="宋体"/>
          <w:color w:val="auto"/>
          <w:spacing w:val="0"/>
          <w:kern w:val="0"/>
          <w:lang w:bidi="ar-SA"/>
        </w:rPr>
        <w:t>建筑面积在3000平方米以上其它用途的民用建筑。</w:t>
      </w:r>
    </w:p>
    <w:p w14:paraId="723F5424">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default" w:ascii="仿宋_GB2312" w:hAnsi="仿宋" w:eastAsia="仿宋_GB2312" w:cs="宋体"/>
          <w:color w:val="auto"/>
          <w:spacing w:val="0"/>
          <w:kern w:val="0"/>
          <w:lang w:val="en-US" w:eastAsia="zh-CN" w:bidi="ar-SA"/>
        </w:rPr>
      </w:pPr>
      <w:r>
        <w:rPr>
          <w:rFonts w:hint="eastAsia" w:ascii="仿宋_GB2312" w:hAnsi="仿宋" w:cs="宋体"/>
          <w:color w:val="auto"/>
          <w:spacing w:val="0"/>
          <w:kern w:val="0"/>
          <w:lang w:val="en-US" w:eastAsia="zh-CN" w:bidi="ar-SA"/>
        </w:rPr>
        <w:t>2.房屋建筑工程造价</w:t>
      </w:r>
      <w:r>
        <w:rPr>
          <w:rFonts w:hint="eastAsia" w:ascii="仿宋_GB2312" w:hAnsi="仿宋" w:cs="宋体"/>
          <w:color w:val="auto"/>
          <w:spacing w:val="0"/>
          <w:kern w:val="0"/>
          <w:u w:val="none"/>
          <w:lang w:val="en-US" w:eastAsia="zh-CN" w:bidi="ar-SA"/>
        </w:rPr>
        <w:t>在</w:t>
      </w:r>
      <w:r>
        <w:rPr>
          <w:rFonts w:hint="eastAsia" w:ascii="仿宋_GB2312" w:hAnsi="仿宋" w:cs="宋体"/>
          <w:color w:val="auto"/>
          <w:spacing w:val="0"/>
          <w:kern w:val="0"/>
          <w:lang w:val="en-US" w:eastAsia="zh-CN" w:bidi="ar-SA"/>
        </w:rPr>
        <w:t>1000万元以上；</w:t>
      </w:r>
    </w:p>
    <w:p w14:paraId="4FF41508">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val="en-US" w:eastAsia="zh-CN" w:bidi="ar-SA"/>
        </w:rPr>
        <w:t>3</w:t>
      </w:r>
      <w:r>
        <w:rPr>
          <w:rFonts w:hint="eastAsia" w:ascii="仿宋_GB2312" w:hAnsi="仿宋" w:cs="宋体"/>
          <w:color w:val="auto"/>
          <w:spacing w:val="0"/>
          <w:kern w:val="0"/>
          <w:lang w:bidi="ar-SA"/>
        </w:rPr>
        <w:t xml:space="preserve">．建筑面积在6000（县级5000）平方米以上的生产厂房、仓库。 </w:t>
      </w:r>
    </w:p>
    <w:p w14:paraId="4FDF11D9">
      <w:pPr>
        <w:keepNext w:val="0"/>
        <w:keepLines w:val="0"/>
        <w:pageBreakBefore w:val="0"/>
        <w:widowControl w:val="0"/>
        <w:kinsoku/>
        <w:wordWrap/>
        <w:overflowPunct/>
        <w:topLinePunct w:val="0"/>
        <w:autoSpaceDE/>
        <w:autoSpaceDN/>
        <w:bidi w:val="0"/>
        <w:snapToGrid w:val="0"/>
        <w:spacing w:line="640" w:lineRule="exact"/>
        <w:ind w:left="0" w:leftChars="0" w:right="0" w:rightChars="0" w:firstLine="625" w:firstLineChars="192"/>
        <w:contextualSpacing/>
        <w:textAlignment w:val="auto"/>
        <w:outlineLvl w:val="9"/>
        <w:rPr>
          <w:rFonts w:hint="eastAsia" w:ascii="仿宋_GB2312" w:hAnsi="Calibri"/>
          <w:color w:val="auto"/>
          <w:spacing w:val="0"/>
          <w:lang w:bidi="ar-SA"/>
        </w:rPr>
      </w:pPr>
      <w:r>
        <w:rPr>
          <w:rFonts w:hint="eastAsia" w:ascii="仿宋_GB2312" w:hAnsi="Calibri"/>
          <w:b/>
          <w:color w:val="auto"/>
          <w:spacing w:val="0"/>
          <w:lang w:bidi="ar-SA"/>
        </w:rPr>
        <w:t>第七条</w:t>
      </w:r>
      <w:r>
        <w:rPr>
          <w:rFonts w:hint="eastAsia" w:ascii="仿宋_GB2312" w:hAnsi="Calibri"/>
          <w:color w:val="auto"/>
          <w:spacing w:val="0"/>
          <w:lang w:bidi="ar-SA"/>
        </w:rPr>
        <w:t xml:space="preserve">  有下列情况之一的工程不得申报：</w:t>
      </w:r>
    </w:p>
    <w:p w14:paraId="27F0D6DE">
      <w:pPr>
        <w:keepNext w:val="0"/>
        <w:keepLines w:val="0"/>
        <w:pageBreakBefore w:val="0"/>
        <w:widowControl w:val="0"/>
        <w:kinsoku/>
        <w:wordWrap/>
        <w:overflowPunct/>
        <w:topLinePunct w:val="0"/>
        <w:autoSpaceDE/>
        <w:autoSpaceDN/>
        <w:bidi w:val="0"/>
        <w:snapToGrid w:val="0"/>
        <w:spacing w:line="640" w:lineRule="exact"/>
        <w:ind w:left="0" w:leftChars="0" w:right="0" w:rightChars="0" w:firstLine="625" w:firstLineChars="192"/>
        <w:contextualSpacing/>
        <w:textAlignment w:val="auto"/>
        <w:outlineLvl w:val="9"/>
        <w:rPr>
          <w:rFonts w:hint="eastAsia" w:ascii="仿宋_GB2312" w:hAnsi="Calibri"/>
          <w:color w:val="auto"/>
          <w:spacing w:val="0"/>
          <w:lang w:bidi="ar-SA"/>
        </w:rPr>
      </w:pPr>
      <w:r>
        <w:rPr>
          <w:rFonts w:hint="eastAsia" w:ascii="仿宋_GB2312" w:hAnsi="Calibri"/>
          <w:color w:val="auto"/>
          <w:spacing w:val="0"/>
          <w:lang w:bidi="ar-SA"/>
        </w:rPr>
        <w:t>（一）原有建筑物改建工程；</w:t>
      </w:r>
    </w:p>
    <w:p w14:paraId="2C1C7537">
      <w:pPr>
        <w:keepNext w:val="0"/>
        <w:keepLines w:val="0"/>
        <w:pageBreakBefore w:val="0"/>
        <w:widowControl w:val="0"/>
        <w:kinsoku/>
        <w:wordWrap/>
        <w:overflowPunct/>
        <w:topLinePunct w:val="0"/>
        <w:autoSpaceDE/>
        <w:autoSpaceDN/>
        <w:bidi w:val="0"/>
        <w:snapToGrid w:val="0"/>
        <w:spacing w:line="640" w:lineRule="exact"/>
        <w:ind w:left="0" w:leftChars="0" w:right="0" w:rightChars="0" w:firstLine="625" w:firstLineChars="192"/>
        <w:contextualSpacing/>
        <w:textAlignment w:val="auto"/>
        <w:outlineLvl w:val="9"/>
        <w:rPr>
          <w:rFonts w:hint="eastAsia" w:ascii="仿宋_GB2312" w:hAnsi="Calibri"/>
          <w:color w:val="auto"/>
          <w:spacing w:val="0"/>
          <w:lang w:bidi="ar-SA"/>
        </w:rPr>
      </w:pPr>
      <w:r>
        <w:rPr>
          <w:rFonts w:hint="eastAsia" w:ascii="仿宋_GB2312" w:hAnsi="Calibri"/>
          <w:color w:val="auto"/>
          <w:spacing w:val="0"/>
          <w:lang w:bidi="ar-SA"/>
        </w:rPr>
        <w:t>（二）经过加固补强的工程；</w:t>
      </w:r>
    </w:p>
    <w:p w14:paraId="2C1DCE52">
      <w:pPr>
        <w:keepNext w:val="0"/>
        <w:keepLines w:val="0"/>
        <w:pageBreakBefore w:val="0"/>
        <w:widowControl w:val="0"/>
        <w:kinsoku/>
        <w:wordWrap/>
        <w:overflowPunct/>
        <w:topLinePunct w:val="0"/>
        <w:autoSpaceDE/>
        <w:autoSpaceDN/>
        <w:bidi w:val="0"/>
        <w:snapToGrid w:val="0"/>
        <w:spacing w:line="640" w:lineRule="exact"/>
        <w:ind w:left="0" w:leftChars="0" w:right="0" w:rightChars="0" w:firstLine="625" w:firstLineChars="192"/>
        <w:contextualSpacing/>
        <w:textAlignment w:val="auto"/>
        <w:outlineLvl w:val="9"/>
        <w:rPr>
          <w:rFonts w:hint="eastAsia" w:ascii="仿宋_GB2312" w:hAnsi="Calibri"/>
          <w:color w:val="auto"/>
          <w:spacing w:val="0"/>
          <w:lang w:bidi="ar-SA"/>
        </w:rPr>
      </w:pPr>
      <w:r>
        <w:rPr>
          <w:rFonts w:hint="eastAsia" w:ascii="仿宋_GB2312" w:hAnsi="Calibri"/>
          <w:color w:val="auto"/>
          <w:spacing w:val="0"/>
          <w:lang w:bidi="ar-SA"/>
        </w:rPr>
        <w:t>（三）使用国家和地方明令淘汰的建筑材料、设备及构配件的工程；</w:t>
      </w:r>
    </w:p>
    <w:p w14:paraId="176AE7DF">
      <w:pPr>
        <w:keepNext w:val="0"/>
        <w:keepLines w:val="0"/>
        <w:pageBreakBefore w:val="0"/>
        <w:widowControl w:val="0"/>
        <w:kinsoku/>
        <w:wordWrap/>
        <w:overflowPunct/>
        <w:topLinePunct w:val="0"/>
        <w:autoSpaceDE/>
        <w:autoSpaceDN/>
        <w:bidi w:val="0"/>
        <w:snapToGrid w:val="0"/>
        <w:spacing w:line="640" w:lineRule="exact"/>
        <w:ind w:left="0" w:leftChars="0" w:right="0" w:rightChars="0" w:firstLine="625" w:firstLineChars="192"/>
        <w:contextualSpacing/>
        <w:textAlignment w:val="auto"/>
        <w:outlineLvl w:val="9"/>
        <w:rPr>
          <w:rFonts w:hint="eastAsia" w:ascii="仿宋_GB2312" w:hAnsi="Calibri"/>
          <w:color w:val="auto"/>
          <w:spacing w:val="0"/>
          <w:lang w:eastAsia="zh-CN" w:bidi="ar-SA"/>
        </w:rPr>
      </w:pPr>
      <w:r>
        <w:rPr>
          <w:rFonts w:hint="eastAsia" w:ascii="仿宋_GB2312" w:hAnsi="Calibri"/>
          <w:color w:val="auto"/>
          <w:spacing w:val="0"/>
          <w:lang w:bidi="ar-SA"/>
        </w:rPr>
        <w:t>（四）因施工质量问题有投诉、举报属实的工程</w:t>
      </w:r>
      <w:r>
        <w:rPr>
          <w:rFonts w:hint="eastAsia" w:ascii="仿宋_GB2312" w:hAnsi="Calibri"/>
          <w:color w:val="auto"/>
          <w:spacing w:val="0"/>
          <w:lang w:eastAsia="zh-CN" w:bidi="ar-SA"/>
        </w:rPr>
        <w:t>；</w:t>
      </w:r>
    </w:p>
    <w:p w14:paraId="76ABE71B">
      <w:pPr>
        <w:keepNext w:val="0"/>
        <w:keepLines w:val="0"/>
        <w:pageBreakBefore w:val="0"/>
        <w:widowControl w:val="0"/>
        <w:kinsoku/>
        <w:wordWrap/>
        <w:overflowPunct/>
        <w:topLinePunct w:val="0"/>
        <w:autoSpaceDE/>
        <w:autoSpaceDN/>
        <w:bidi w:val="0"/>
        <w:snapToGrid w:val="0"/>
        <w:spacing w:line="640" w:lineRule="exact"/>
        <w:ind w:left="0" w:leftChars="0" w:right="0" w:rightChars="0" w:firstLine="625" w:firstLineChars="192"/>
        <w:contextualSpacing/>
        <w:textAlignment w:val="auto"/>
        <w:outlineLvl w:val="9"/>
        <w:rPr>
          <w:rFonts w:hint="eastAsia" w:ascii="仿宋_GB2312" w:hAnsi="仿宋" w:cs="宋体"/>
          <w:color w:val="auto"/>
          <w:spacing w:val="0"/>
          <w:kern w:val="0"/>
          <w:lang w:val="en-US" w:eastAsia="zh-CN" w:bidi="ar-SA"/>
        </w:rPr>
      </w:pPr>
      <w:r>
        <w:rPr>
          <w:rFonts w:hint="eastAsia" w:ascii="仿宋_GB2312" w:hAnsi="仿宋" w:cs="宋体"/>
          <w:color w:val="auto"/>
          <w:spacing w:val="0"/>
          <w:kern w:val="0"/>
          <w:lang w:val="en-US" w:eastAsia="zh-CN" w:bidi="ar-SA"/>
        </w:rPr>
        <w:t>（五）项目开工前未向市建筑协会申报结构质量水平评价计划的工程。</w:t>
      </w:r>
    </w:p>
    <w:p w14:paraId="32814116">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contextualSpacing/>
        <w:jc w:val="center"/>
        <w:textAlignment w:val="auto"/>
        <w:outlineLvl w:val="9"/>
        <w:rPr>
          <w:rFonts w:hint="eastAsia" w:ascii="仿宋_GB2312" w:hAnsi="黑体" w:cs="宋体"/>
          <w:b/>
          <w:bCs/>
          <w:color w:val="auto"/>
          <w:spacing w:val="0"/>
          <w:kern w:val="0"/>
          <w:lang w:bidi="ar-SA"/>
        </w:rPr>
      </w:pPr>
      <w:r>
        <w:rPr>
          <w:rFonts w:hint="eastAsia" w:ascii="仿宋_GB2312" w:hAnsi="黑体" w:cs="宋体"/>
          <w:b/>
          <w:bCs/>
          <w:color w:val="auto"/>
          <w:spacing w:val="0"/>
          <w:kern w:val="0"/>
          <w:lang w:bidi="ar-SA"/>
        </w:rPr>
        <w:t>第三章  申报程序及申报资料</w:t>
      </w:r>
    </w:p>
    <w:p w14:paraId="2ED243EC">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b/>
          <w:color w:val="auto"/>
          <w:spacing w:val="0"/>
          <w:kern w:val="0"/>
          <w:lang w:bidi="ar-SA"/>
        </w:rPr>
        <w:t>第八条</w:t>
      </w:r>
      <w:r>
        <w:rPr>
          <w:rFonts w:hint="eastAsia" w:ascii="仿宋_GB2312" w:hAnsi="仿宋" w:cs="宋体"/>
          <w:color w:val="auto"/>
          <w:spacing w:val="0"/>
          <w:kern w:val="0"/>
          <w:lang w:bidi="ar-SA"/>
        </w:rPr>
        <w:t xml:space="preserve">  申报程序及申报资料</w:t>
      </w:r>
    </w:p>
    <w:p w14:paraId="5D46C4BD">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申报单位在满足工程开工条件前经工程所在地县（市）建筑业协会推荐，向市建筑协会申报</w:t>
      </w:r>
      <w:r>
        <w:rPr>
          <w:rFonts w:hint="eastAsia" w:ascii="仿宋_GB2312" w:hAnsi="仿宋" w:cs="宋体"/>
          <w:color w:val="auto"/>
          <w:spacing w:val="0"/>
          <w:kern w:val="0"/>
          <w:lang w:val="en-US" w:eastAsia="zh-CN" w:bidi="ar-SA"/>
        </w:rPr>
        <w:t>结构质量水平评价</w:t>
      </w:r>
      <w:r>
        <w:rPr>
          <w:rFonts w:hint="eastAsia" w:ascii="仿宋_GB2312" w:hAnsi="仿宋" w:cs="宋体"/>
          <w:color w:val="auto"/>
          <w:spacing w:val="0"/>
          <w:kern w:val="0"/>
          <w:lang w:bidi="ar-SA"/>
        </w:rPr>
        <w:t>计划，并递交以下申报资料：</w:t>
      </w:r>
    </w:p>
    <w:p w14:paraId="38E9E569">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318" w:firstLineChars="98"/>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（一）《韶关市建设工程</w:t>
      </w:r>
      <w:r>
        <w:rPr>
          <w:rFonts w:hint="eastAsia" w:ascii="仿宋_GB2312" w:hAnsi="仿宋" w:cs="宋体"/>
          <w:color w:val="auto"/>
          <w:spacing w:val="0"/>
          <w:kern w:val="0"/>
          <w:lang w:val="en-US" w:eastAsia="zh-CN" w:bidi="ar-SA"/>
        </w:rPr>
        <w:t>结构质量水平评价</w:t>
      </w:r>
      <w:r>
        <w:rPr>
          <w:rFonts w:hint="eastAsia" w:ascii="仿宋_GB2312" w:hAnsi="仿宋" w:cs="宋体"/>
          <w:color w:val="auto"/>
          <w:spacing w:val="0"/>
          <w:kern w:val="0"/>
          <w:lang w:bidi="ar-SA"/>
        </w:rPr>
        <w:t>申报表》；</w:t>
      </w:r>
    </w:p>
    <w:p w14:paraId="60E3225F">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318" w:firstLineChars="98"/>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（二）建设工程规划许可证、施工图设计文件审查合格书及批准文件、施工许可证等基本建设程序文件；</w:t>
      </w:r>
    </w:p>
    <w:p w14:paraId="4709C3D6">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318" w:firstLineChars="98"/>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（三）工程中标通知书、施工合同、监理合同、项目经理和总监理工程师</w:t>
      </w:r>
      <w:r>
        <w:rPr>
          <w:rFonts w:hint="eastAsia" w:ascii="仿宋_GB2312" w:hAnsi="仿宋" w:cs="宋体"/>
          <w:color w:val="auto"/>
          <w:spacing w:val="0"/>
          <w:kern w:val="0"/>
          <w:lang w:eastAsia="zh-CN" w:bidi="ar-SA"/>
        </w:rPr>
        <w:t>的注册证书</w:t>
      </w:r>
      <w:r>
        <w:rPr>
          <w:rFonts w:hint="eastAsia" w:ascii="仿宋_GB2312" w:hAnsi="仿宋" w:cs="宋体"/>
          <w:color w:val="auto"/>
          <w:spacing w:val="0"/>
          <w:kern w:val="0"/>
          <w:lang w:bidi="ar-SA"/>
        </w:rPr>
        <w:t>；</w:t>
      </w:r>
    </w:p>
    <w:p w14:paraId="74A9E303">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318" w:firstLineChars="98"/>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（四）工程概况、工程创优计划和工程施工进度计划；</w:t>
      </w:r>
    </w:p>
    <w:p w14:paraId="559B3645">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4" w:firstLineChars="198"/>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以上资料由各县（市）建筑业协会负责审核，并核对相关资料原件，复印件加盖核对章及签署核对人姓名</w:t>
      </w:r>
      <w:r>
        <w:rPr>
          <w:rFonts w:hint="eastAsia" w:ascii="仿宋_GB2312"/>
          <w:color w:val="auto"/>
        </w:rPr>
        <w:t>后</w:t>
      </w:r>
      <w:r>
        <w:rPr>
          <w:rFonts w:hint="eastAsia" w:ascii="仿宋_GB2312"/>
          <w:color w:val="auto"/>
          <w:lang w:val="en-US" w:eastAsia="zh-CN"/>
        </w:rPr>
        <w:t>由申报单位登录</w:t>
      </w:r>
      <w:r>
        <w:rPr>
          <w:rFonts w:hint="eastAsia" w:ascii="仿宋_GB2312"/>
          <w:color w:val="auto"/>
        </w:rPr>
        <w:t>市建筑协会</w:t>
      </w:r>
      <w:r>
        <w:rPr>
          <w:rFonts w:hint="eastAsia" w:ascii="仿宋_GB2312"/>
          <w:color w:val="auto"/>
          <w:lang w:val="en-US" w:eastAsia="zh-CN"/>
        </w:rPr>
        <w:t>网站进行网上申报</w:t>
      </w:r>
      <w:r>
        <w:rPr>
          <w:rFonts w:hint="eastAsia" w:ascii="仿宋_GB2312" w:hAnsi="仿宋" w:cs="宋体"/>
          <w:color w:val="auto"/>
          <w:spacing w:val="0"/>
          <w:kern w:val="0"/>
          <w:lang w:bidi="ar-SA"/>
        </w:rPr>
        <w:t>。</w:t>
      </w:r>
    </w:p>
    <w:p w14:paraId="6056BC21">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contextualSpacing/>
        <w:jc w:val="center"/>
        <w:textAlignment w:val="auto"/>
        <w:outlineLvl w:val="9"/>
        <w:rPr>
          <w:rFonts w:hint="eastAsia" w:ascii="仿宋_GB2312" w:hAnsi="黑体" w:eastAsia="仿宋_GB2312" w:cs="宋体"/>
          <w:b/>
          <w:bCs/>
          <w:color w:val="auto"/>
          <w:spacing w:val="0"/>
          <w:kern w:val="0"/>
          <w:lang w:eastAsia="zh-CN" w:bidi="ar-SA"/>
        </w:rPr>
      </w:pPr>
      <w:r>
        <w:rPr>
          <w:rFonts w:hint="eastAsia" w:ascii="仿宋_GB2312" w:hAnsi="黑体" w:cs="宋体"/>
          <w:b/>
          <w:bCs/>
          <w:color w:val="auto"/>
          <w:spacing w:val="0"/>
          <w:kern w:val="0"/>
          <w:lang w:bidi="ar-SA"/>
        </w:rPr>
        <w:t>第四章  现场检查及评</w:t>
      </w:r>
      <w:r>
        <w:rPr>
          <w:rFonts w:hint="eastAsia" w:ascii="仿宋_GB2312" w:hAnsi="黑体" w:cs="宋体"/>
          <w:b/>
          <w:bCs/>
          <w:color w:val="auto"/>
          <w:spacing w:val="0"/>
          <w:kern w:val="0"/>
          <w:lang w:val="en-US" w:eastAsia="zh-CN" w:bidi="ar-SA"/>
        </w:rPr>
        <w:t>价</w:t>
      </w:r>
    </w:p>
    <w:p w14:paraId="4657EB8B">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b/>
          <w:color w:val="auto"/>
          <w:spacing w:val="0"/>
          <w:kern w:val="0"/>
          <w:lang w:bidi="ar-SA"/>
        </w:rPr>
        <w:t>第九条</w:t>
      </w:r>
      <w:r>
        <w:rPr>
          <w:rFonts w:hint="eastAsia" w:ascii="仿宋_GB2312" w:hAnsi="仿宋" w:cs="宋体"/>
          <w:color w:val="auto"/>
          <w:spacing w:val="0"/>
          <w:kern w:val="0"/>
          <w:lang w:bidi="ar-SA"/>
        </w:rPr>
        <w:t xml:space="preserve">  现场检查工作由市建筑协会负责组织，按申报项目施工进度情况动态组织检查。</w:t>
      </w:r>
    </w:p>
    <w:p w14:paraId="47C488C8">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一）原则上各项目要进行两次的现场检查：第一次：多层建筑结构工程检查地基基础、地下室到地上三层以内的结构（高层及超高层建筑结构工程可到地上五层以内）。第二次：多层建筑结构工程检查地上三层以上主体结构工程（高层建筑结构为地上五层以上结构）。对于超高层建筑每增加20层（不足20层按20层计）增加一次评审检查。</w:t>
      </w:r>
    </w:p>
    <w:p w14:paraId="6EF35470">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（二）专业工程根据其结构特点分次检查。</w:t>
      </w:r>
    </w:p>
    <w:p w14:paraId="086CEF7B">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（三）评审专家在韶关市建筑协会工程质量技术专家库中抽取。</w:t>
      </w:r>
    </w:p>
    <w:p w14:paraId="23DEDDB8">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（四）现场检查程序</w:t>
      </w:r>
    </w:p>
    <w:p w14:paraId="3175ED7A">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1</w:t>
      </w:r>
      <w:r>
        <w:rPr>
          <w:rFonts w:hint="eastAsia" w:ascii="仿宋_GB2312"/>
          <w:color w:val="auto"/>
          <w:spacing w:val="0"/>
          <w:lang w:bidi="ar-SA"/>
        </w:rPr>
        <w:t>．</w:t>
      </w:r>
      <w:r>
        <w:rPr>
          <w:rFonts w:hint="eastAsia" w:ascii="仿宋_GB2312" w:hAnsi="仿宋" w:cs="宋体"/>
          <w:color w:val="auto"/>
          <w:spacing w:val="0"/>
          <w:kern w:val="0"/>
          <w:lang w:bidi="ar-SA"/>
        </w:rPr>
        <w:t>听取申报单位关于工程项目质量情况的汇报；</w:t>
      </w:r>
    </w:p>
    <w:p w14:paraId="0E2EF648">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2．征求建设单位、监理单位的意见；</w:t>
      </w:r>
    </w:p>
    <w:p w14:paraId="08EA1858">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3．核查工程基本建设程序文件原件；</w:t>
      </w:r>
    </w:p>
    <w:p w14:paraId="04C8DD23">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4．抽查工程实体质量和工程技术资料；</w:t>
      </w:r>
    </w:p>
    <w:p w14:paraId="62B0274E">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5．反馈检查情况；</w:t>
      </w:r>
    </w:p>
    <w:p w14:paraId="70A5E5F2">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color w:val="auto"/>
          <w:spacing w:val="0"/>
          <w:kern w:val="0"/>
          <w:lang w:bidi="ar-SA"/>
        </w:rPr>
        <w:t>6．提出评审检查意见。</w:t>
      </w:r>
    </w:p>
    <w:p w14:paraId="386242A1">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b/>
          <w:color w:val="auto"/>
          <w:spacing w:val="0"/>
          <w:kern w:val="0"/>
          <w:lang w:bidi="ar-SA"/>
        </w:rPr>
        <w:t>第十条</w:t>
      </w:r>
      <w:r>
        <w:rPr>
          <w:rFonts w:hint="eastAsia" w:ascii="仿宋_GB2312" w:hAnsi="仿宋" w:cs="宋体"/>
          <w:color w:val="auto"/>
          <w:spacing w:val="0"/>
          <w:kern w:val="0"/>
          <w:lang w:bidi="ar-SA"/>
        </w:rPr>
        <w:t xml:space="preserve"> 市</w:t>
      </w:r>
      <w:r>
        <w:rPr>
          <w:rFonts w:hint="eastAsia" w:ascii="仿宋_GB2312" w:hAnsi="仿宋" w:cs="宋体"/>
          <w:color w:val="auto"/>
          <w:spacing w:val="0"/>
          <w:kern w:val="0"/>
          <w:lang w:val="en-US" w:eastAsia="zh-CN" w:bidi="ar-SA"/>
        </w:rPr>
        <w:t>结构质量水平评价</w:t>
      </w:r>
      <w:r>
        <w:rPr>
          <w:rFonts w:hint="eastAsia" w:ascii="仿宋_GB2312" w:hAnsi="仿宋" w:cs="宋体"/>
          <w:color w:val="auto"/>
          <w:spacing w:val="0"/>
          <w:kern w:val="0"/>
          <w:lang w:bidi="ar-SA"/>
        </w:rPr>
        <w:t>的评</w:t>
      </w:r>
      <w:r>
        <w:rPr>
          <w:rFonts w:hint="eastAsia" w:ascii="仿宋_GB2312" w:hAnsi="仿宋" w:cs="宋体"/>
          <w:color w:val="auto"/>
          <w:spacing w:val="0"/>
          <w:kern w:val="0"/>
          <w:lang w:val="en-US" w:eastAsia="zh-CN" w:bidi="ar-SA"/>
        </w:rPr>
        <w:t>价</w:t>
      </w:r>
      <w:r>
        <w:rPr>
          <w:rFonts w:hint="eastAsia" w:ascii="仿宋_GB2312" w:hAnsi="仿宋" w:cs="宋体"/>
          <w:color w:val="auto"/>
          <w:spacing w:val="0"/>
          <w:kern w:val="0"/>
          <w:lang w:bidi="ar-SA"/>
        </w:rPr>
        <w:t>工作由市建筑协会组织开展。专家组3-4人，由具有高级技术职称、熟悉工程质量技术与管理的工程质量专家组成。评</w:t>
      </w:r>
      <w:r>
        <w:rPr>
          <w:rFonts w:hint="eastAsia" w:ascii="仿宋_GB2312" w:hAnsi="仿宋" w:cs="宋体"/>
          <w:color w:val="auto"/>
          <w:spacing w:val="0"/>
          <w:kern w:val="0"/>
          <w:lang w:val="en-US" w:eastAsia="zh-CN" w:bidi="ar-SA"/>
        </w:rPr>
        <w:t>价</w:t>
      </w:r>
      <w:r>
        <w:rPr>
          <w:rFonts w:hint="eastAsia" w:ascii="仿宋_GB2312" w:hAnsi="仿宋" w:cs="宋体"/>
          <w:color w:val="auto"/>
          <w:spacing w:val="0"/>
          <w:kern w:val="0"/>
          <w:lang w:bidi="ar-SA"/>
        </w:rPr>
        <w:t>工作坚持“公开、公平、公正”原则。</w:t>
      </w:r>
    </w:p>
    <w:p w14:paraId="46BD114B">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b/>
          <w:color w:val="auto"/>
          <w:spacing w:val="0"/>
          <w:kern w:val="0"/>
          <w:lang w:bidi="ar-SA"/>
        </w:rPr>
        <w:t>第十一条</w:t>
      </w:r>
      <w:r>
        <w:rPr>
          <w:rFonts w:hint="eastAsia" w:ascii="仿宋_GB2312" w:hAnsi="仿宋" w:cs="宋体"/>
          <w:color w:val="auto"/>
          <w:spacing w:val="0"/>
          <w:kern w:val="0"/>
          <w:lang w:bidi="ar-SA"/>
        </w:rPr>
        <w:t xml:space="preserve">  参加评</w:t>
      </w:r>
      <w:r>
        <w:rPr>
          <w:rFonts w:hint="eastAsia" w:ascii="仿宋_GB2312" w:hAnsi="仿宋" w:cs="宋体"/>
          <w:color w:val="auto"/>
          <w:spacing w:val="0"/>
          <w:kern w:val="0"/>
          <w:lang w:val="en-US" w:eastAsia="zh-CN" w:bidi="ar-SA"/>
        </w:rPr>
        <w:t>价</w:t>
      </w:r>
      <w:r>
        <w:rPr>
          <w:rFonts w:hint="eastAsia" w:ascii="仿宋_GB2312" w:hAnsi="仿宋" w:cs="宋体"/>
          <w:color w:val="auto"/>
          <w:spacing w:val="0"/>
          <w:kern w:val="0"/>
          <w:lang w:bidi="ar-SA"/>
        </w:rPr>
        <w:t>的工程在评</w:t>
      </w:r>
      <w:r>
        <w:rPr>
          <w:rFonts w:hint="eastAsia" w:ascii="仿宋_GB2312" w:hAnsi="仿宋" w:cs="宋体"/>
          <w:color w:val="auto"/>
          <w:spacing w:val="0"/>
          <w:kern w:val="0"/>
          <w:lang w:val="en-US" w:eastAsia="zh-CN" w:bidi="ar-SA"/>
        </w:rPr>
        <w:t>价</w:t>
      </w:r>
      <w:r>
        <w:rPr>
          <w:rFonts w:hint="eastAsia" w:ascii="仿宋_GB2312" w:hAnsi="仿宋" w:cs="宋体"/>
          <w:color w:val="auto"/>
          <w:spacing w:val="0"/>
          <w:kern w:val="0"/>
          <w:lang w:bidi="ar-SA"/>
        </w:rPr>
        <w:t>前申报单位需提供反映地基基础、主体结构施工过程中质量管理、过程控制、检验检测、程序验收情况的5分钟影像资料或PPT资料。</w:t>
      </w:r>
    </w:p>
    <w:p w14:paraId="6F8490B5">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val="en-US" w:eastAsia="zh-CN" w:bidi="ar-SA"/>
        </w:rPr>
      </w:pPr>
      <w:r>
        <w:rPr>
          <w:rFonts w:hint="eastAsia" w:ascii="仿宋_GB2312" w:hAnsi="仿宋" w:cs="宋体"/>
          <w:b/>
          <w:color w:val="auto"/>
          <w:spacing w:val="0"/>
          <w:kern w:val="0"/>
          <w:lang w:bidi="ar-SA"/>
        </w:rPr>
        <w:t>第十二条</w:t>
      </w:r>
      <w:r>
        <w:rPr>
          <w:rFonts w:hint="eastAsia" w:ascii="仿宋_GB2312" w:hAnsi="仿宋" w:cs="宋体"/>
          <w:color w:val="auto"/>
          <w:spacing w:val="0"/>
          <w:kern w:val="0"/>
          <w:lang w:bidi="ar-SA"/>
        </w:rPr>
        <w:t xml:space="preserve">  </w:t>
      </w:r>
      <w:r>
        <w:rPr>
          <w:rFonts w:hint="eastAsia" w:ascii="仿宋_GB2312" w:hAnsi="仿宋" w:cs="宋体"/>
          <w:color w:val="auto"/>
          <w:spacing w:val="0"/>
          <w:kern w:val="0"/>
          <w:lang w:eastAsia="zh-CN" w:bidi="ar-SA"/>
        </w:rPr>
        <w:t>专家组评</w:t>
      </w:r>
      <w:r>
        <w:rPr>
          <w:rFonts w:hint="eastAsia" w:ascii="仿宋_GB2312" w:hAnsi="仿宋" w:cs="宋体"/>
          <w:color w:val="auto"/>
          <w:spacing w:val="0"/>
          <w:kern w:val="0"/>
          <w:lang w:val="en-US" w:eastAsia="zh-CN" w:bidi="ar-SA"/>
        </w:rPr>
        <w:t>价</w:t>
      </w:r>
      <w:r>
        <w:rPr>
          <w:rFonts w:hint="eastAsia" w:ascii="仿宋_GB2312" w:hAnsi="仿宋" w:cs="宋体"/>
          <w:color w:val="auto"/>
          <w:spacing w:val="0"/>
          <w:kern w:val="0"/>
          <w:lang w:eastAsia="zh-CN" w:bidi="ar-SA"/>
        </w:rPr>
        <w:t>通过的项目列为市</w:t>
      </w:r>
      <w:r>
        <w:rPr>
          <w:rFonts w:hint="eastAsia" w:ascii="仿宋_GB2312" w:hAnsi="仿宋" w:cs="宋体"/>
          <w:color w:val="auto"/>
          <w:spacing w:val="0"/>
          <w:kern w:val="0"/>
          <w:lang w:val="en-US" w:eastAsia="zh-CN" w:bidi="ar-SA"/>
        </w:rPr>
        <w:t>结构质量水平评价</w:t>
      </w:r>
      <w:r>
        <w:rPr>
          <w:rFonts w:hint="eastAsia" w:ascii="仿宋_GB2312" w:hAnsi="仿宋" w:cs="宋体"/>
          <w:color w:val="auto"/>
          <w:spacing w:val="0"/>
          <w:kern w:val="0"/>
          <w:lang w:eastAsia="zh-CN" w:bidi="ar-SA"/>
        </w:rPr>
        <w:t>入选项目</w:t>
      </w:r>
      <w:r>
        <w:rPr>
          <w:rFonts w:hint="eastAsia" w:ascii="仿宋_GB2312" w:hAnsi="仿宋" w:cs="宋体"/>
          <w:color w:val="auto"/>
          <w:spacing w:val="0"/>
          <w:kern w:val="0"/>
          <w:lang w:bidi="ar-SA"/>
        </w:rPr>
        <w:t>，</w:t>
      </w:r>
      <w:r>
        <w:rPr>
          <w:rFonts w:hint="eastAsia" w:ascii="仿宋_GB2312" w:hAnsi="仿宋" w:cs="宋体"/>
          <w:color w:val="auto"/>
          <w:spacing w:val="0"/>
          <w:kern w:val="0"/>
          <w:lang w:eastAsia="zh-CN" w:bidi="ar-SA"/>
        </w:rPr>
        <w:t>入选项目经市建筑协会大评委通过后</w:t>
      </w:r>
      <w:r>
        <w:rPr>
          <w:rFonts w:hint="eastAsia" w:ascii="仿宋_GB2312" w:hAnsi="仿宋" w:cs="宋体"/>
          <w:color w:val="auto"/>
          <w:spacing w:val="0"/>
          <w:kern w:val="0"/>
          <w:lang w:bidi="ar-SA"/>
        </w:rPr>
        <w:t>在韶关市</w:t>
      </w:r>
      <w:r>
        <w:rPr>
          <w:rFonts w:hint="eastAsia" w:ascii="仿宋_GB2312" w:hAnsi="仿宋" w:cs="宋体"/>
          <w:color w:val="auto"/>
          <w:spacing w:val="0"/>
          <w:kern w:val="0"/>
          <w:lang w:val="en-US" w:eastAsia="zh-CN" w:bidi="ar-SA"/>
        </w:rPr>
        <w:t>建筑协会</w:t>
      </w:r>
      <w:r>
        <w:rPr>
          <w:rFonts w:hint="eastAsia" w:ascii="仿宋_GB2312" w:hAnsi="仿宋" w:cs="宋体"/>
          <w:color w:val="auto"/>
          <w:spacing w:val="0"/>
          <w:kern w:val="0"/>
          <w:lang w:bidi="ar-SA"/>
        </w:rPr>
        <w:t>网站公示</w:t>
      </w:r>
      <w:r>
        <w:rPr>
          <w:rFonts w:hint="eastAsia" w:ascii="仿宋_GB2312" w:hAnsi="仿宋" w:cs="宋体"/>
          <w:color w:val="auto"/>
          <w:spacing w:val="0"/>
          <w:kern w:val="0"/>
          <w:lang w:eastAsia="zh-CN" w:bidi="ar-SA"/>
        </w:rPr>
        <w:t>七</w:t>
      </w:r>
      <w:r>
        <w:rPr>
          <w:rFonts w:hint="eastAsia" w:ascii="仿宋_GB2312" w:hAnsi="仿宋" w:cs="宋体"/>
          <w:color w:val="auto"/>
          <w:spacing w:val="0"/>
          <w:kern w:val="0"/>
          <w:lang w:bidi="ar-SA"/>
        </w:rPr>
        <w:t>天，公示无异议后，视为通过市</w:t>
      </w:r>
      <w:r>
        <w:rPr>
          <w:rFonts w:hint="eastAsia" w:ascii="仿宋_GB2312" w:hAnsi="仿宋" w:cs="宋体"/>
          <w:color w:val="auto"/>
          <w:spacing w:val="0"/>
          <w:kern w:val="0"/>
          <w:lang w:val="en-US" w:eastAsia="zh-CN" w:bidi="ar-SA"/>
        </w:rPr>
        <w:t xml:space="preserve">结构质量水平评价（A级/AA级，其中A级80～85分；AA 级85分以上（不含85分））。  </w:t>
      </w:r>
    </w:p>
    <w:p w14:paraId="62F68B08">
      <w:pPr>
        <w:keepNext w:val="0"/>
        <w:keepLines w:val="0"/>
        <w:pageBreakBefore w:val="0"/>
        <w:widowControl w:val="0"/>
        <w:kinsoku/>
        <w:wordWrap/>
        <w:overflowPunct/>
        <w:topLinePunct w:val="0"/>
        <w:autoSpaceDE/>
        <w:autoSpaceDN/>
        <w:bidi w:val="0"/>
        <w:adjustRightInd w:val="0"/>
        <w:snapToGrid w:val="0"/>
        <w:spacing w:line="640" w:lineRule="exact"/>
        <w:ind w:right="0" w:rightChars="0" w:firstLine="652" w:firstLineChars="200"/>
        <w:contextualSpacing/>
        <w:textAlignment w:val="auto"/>
        <w:outlineLvl w:val="9"/>
        <w:rPr>
          <w:rFonts w:hint="default" w:ascii="仿宋_GB2312" w:hAnsi="仿宋" w:eastAsia="仿宋_GB2312" w:cs="宋体"/>
          <w:color w:val="auto"/>
          <w:spacing w:val="0"/>
          <w:kern w:val="0"/>
          <w:lang w:val="en-US" w:eastAsia="zh-CN" w:bidi="ar-SA"/>
        </w:rPr>
      </w:pPr>
      <w:r>
        <w:rPr>
          <w:rFonts w:hint="eastAsia" w:ascii="仿宋_GB2312" w:hAnsi="仿宋" w:cs="宋体"/>
          <w:b/>
          <w:color w:val="auto"/>
          <w:spacing w:val="0"/>
          <w:kern w:val="0"/>
          <w:lang w:bidi="ar-SA"/>
        </w:rPr>
        <w:t>第十三条</w:t>
      </w:r>
      <w:r>
        <w:rPr>
          <w:rFonts w:hint="eastAsia" w:ascii="仿宋_GB2312" w:hAnsi="仿宋" w:cs="宋体"/>
          <w:b/>
          <w:color w:val="auto"/>
          <w:spacing w:val="0"/>
          <w:kern w:val="0"/>
          <w:lang w:val="en-US" w:eastAsia="zh-CN" w:bidi="ar-SA"/>
        </w:rPr>
        <w:t xml:space="preserve">  </w:t>
      </w:r>
      <w:r>
        <w:rPr>
          <w:rFonts w:hint="eastAsia" w:ascii="仿宋_GB2312" w:hAnsi="仿宋" w:cs="宋体"/>
          <w:color w:val="auto"/>
          <w:spacing w:val="0"/>
          <w:kern w:val="0"/>
          <w:lang w:val="en-US" w:eastAsia="zh-CN" w:bidi="ar-SA"/>
        </w:rPr>
        <w:t>通过</w:t>
      </w:r>
      <w:r>
        <w:rPr>
          <w:rFonts w:hint="eastAsia" w:ascii="仿宋_GB2312" w:hAnsi="仿宋" w:cs="宋体"/>
          <w:color w:val="auto"/>
          <w:spacing w:val="0"/>
          <w:kern w:val="0"/>
          <w:lang w:bidi="ar-SA"/>
        </w:rPr>
        <w:t>市</w:t>
      </w:r>
      <w:r>
        <w:rPr>
          <w:rFonts w:hint="eastAsia" w:ascii="仿宋_GB2312" w:hAnsi="仿宋" w:cs="宋体"/>
          <w:color w:val="auto"/>
          <w:spacing w:val="0"/>
          <w:kern w:val="0"/>
          <w:lang w:val="en-US" w:eastAsia="zh-CN" w:bidi="ar-SA"/>
        </w:rPr>
        <w:t>结构质量水平评价AA级的项目在项目竣工验收备案后的第二年可以参与申报市建设工程施工质量评价。</w:t>
      </w:r>
    </w:p>
    <w:p w14:paraId="7B7ACBE3">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b/>
          <w:color w:val="auto"/>
          <w:spacing w:val="0"/>
          <w:kern w:val="0"/>
          <w:lang w:bidi="ar-SA"/>
        </w:rPr>
        <w:t>第十</w:t>
      </w:r>
      <w:r>
        <w:rPr>
          <w:rFonts w:hint="eastAsia" w:ascii="仿宋_GB2312" w:hAnsi="仿宋" w:cs="宋体"/>
          <w:b/>
          <w:color w:val="auto"/>
          <w:spacing w:val="0"/>
          <w:kern w:val="0"/>
          <w:lang w:val="en-US" w:eastAsia="zh-CN" w:bidi="ar-SA"/>
        </w:rPr>
        <w:t>四</w:t>
      </w:r>
      <w:r>
        <w:rPr>
          <w:rFonts w:hint="eastAsia" w:ascii="仿宋_GB2312" w:hAnsi="仿宋" w:cs="宋体"/>
          <w:b/>
          <w:color w:val="auto"/>
          <w:spacing w:val="0"/>
          <w:kern w:val="0"/>
          <w:lang w:bidi="ar-SA"/>
        </w:rPr>
        <w:t>条</w:t>
      </w:r>
      <w:r>
        <w:rPr>
          <w:rFonts w:hint="eastAsia" w:ascii="仿宋_GB2312" w:hAnsi="仿宋" w:cs="宋体"/>
          <w:color w:val="auto"/>
          <w:spacing w:val="0"/>
          <w:kern w:val="0"/>
          <w:lang w:bidi="ar-SA"/>
        </w:rPr>
        <w:t xml:space="preserve">  评</w:t>
      </w:r>
      <w:r>
        <w:rPr>
          <w:rFonts w:hint="eastAsia" w:ascii="仿宋_GB2312" w:hAnsi="仿宋" w:cs="宋体"/>
          <w:color w:val="auto"/>
          <w:spacing w:val="0"/>
          <w:kern w:val="0"/>
          <w:lang w:val="en-US" w:eastAsia="zh-CN" w:bidi="ar-SA"/>
        </w:rPr>
        <w:t>价</w:t>
      </w:r>
      <w:r>
        <w:rPr>
          <w:rFonts w:hint="eastAsia" w:ascii="仿宋_GB2312" w:hAnsi="仿宋" w:cs="宋体"/>
          <w:color w:val="auto"/>
          <w:spacing w:val="0"/>
          <w:kern w:val="0"/>
          <w:lang w:bidi="ar-SA"/>
        </w:rPr>
        <w:t>结果公布后，凡经举报、投诉或后期建设发现主体结构存在质量问题的,市建筑协会将组织专家对工程进行调查、核实,达不到市</w:t>
      </w:r>
      <w:r>
        <w:rPr>
          <w:rFonts w:hint="eastAsia" w:ascii="仿宋_GB2312" w:hAnsi="仿宋" w:cs="宋体"/>
          <w:color w:val="auto"/>
          <w:spacing w:val="0"/>
          <w:kern w:val="0"/>
          <w:lang w:val="en-US" w:eastAsia="zh-CN" w:bidi="ar-SA"/>
        </w:rPr>
        <w:t>结构质量水平评价</w:t>
      </w:r>
      <w:r>
        <w:rPr>
          <w:rFonts w:hint="eastAsia" w:ascii="仿宋_GB2312" w:hAnsi="仿宋" w:cs="宋体"/>
          <w:color w:val="auto"/>
          <w:spacing w:val="0"/>
          <w:kern w:val="0"/>
          <w:lang w:bidi="ar-SA"/>
        </w:rPr>
        <w:t>的工程，撤销</w:t>
      </w:r>
      <w:r>
        <w:rPr>
          <w:rFonts w:hint="eastAsia" w:ascii="仿宋_GB2312" w:hAnsi="仿宋" w:cs="宋体"/>
          <w:color w:val="auto"/>
          <w:spacing w:val="0"/>
          <w:kern w:val="0"/>
          <w:lang w:val="en-US" w:eastAsia="zh-CN" w:bidi="ar-SA"/>
        </w:rPr>
        <w:t>并收回</w:t>
      </w:r>
      <w:r>
        <w:rPr>
          <w:rFonts w:hint="eastAsia" w:ascii="仿宋_GB2312" w:hAnsi="仿宋" w:cs="宋体"/>
          <w:color w:val="auto"/>
          <w:spacing w:val="0"/>
          <w:kern w:val="0"/>
          <w:lang w:bidi="ar-SA"/>
        </w:rPr>
        <w:t>其市</w:t>
      </w:r>
      <w:r>
        <w:rPr>
          <w:rFonts w:hint="eastAsia" w:ascii="仿宋_GB2312" w:hAnsi="仿宋" w:cs="宋体"/>
          <w:color w:val="auto"/>
          <w:spacing w:val="0"/>
          <w:kern w:val="0"/>
          <w:lang w:val="en-US" w:eastAsia="zh-CN" w:bidi="ar-SA"/>
        </w:rPr>
        <w:t>结构质量水平评价项目证书</w:t>
      </w:r>
      <w:r>
        <w:rPr>
          <w:rFonts w:hint="eastAsia" w:ascii="仿宋_GB2312" w:hAnsi="仿宋" w:cs="宋体"/>
          <w:color w:val="auto"/>
          <w:spacing w:val="0"/>
          <w:kern w:val="0"/>
          <w:lang w:bidi="ar-SA"/>
        </w:rPr>
        <w:t>。</w:t>
      </w:r>
    </w:p>
    <w:p w14:paraId="02B173AE">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contextualSpacing/>
        <w:jc w:val="center"/>
        <w:textAlignment w:val="auto"/>
        <w:outlineLvl w:val="9"/>
        <w:rPr>
          <w:rFonts w:hint="eastAsia" w:ascii="仿宋_GB2312" w:hAnsi="黑体" w:cs="宋体"/>
          <w:b/>
          <w:bCs/>
          <w:color w:val="auto"/>
          <w:spacing w:val="0"/>
          <w:kern w:val="0"/>
          <w:lang w:bidi="ar-SA"/>
        </w:rPr>
      </w:pPr>
      <w:r>
        <w:rPr>
          <w:rFonts w:hint="eastAsia" w:ascii="仿宋_GB2312" w:hAnsi="黑体" w:cs="宋体"/>
          <w:b/>
          <w:bCs/>
          <w:color w:val="auto"/>
          <w:spacing w:val="0"/>
          <w:kern w:val="0"/>
          <w:lang w:bidi="ar-SA"/>
        </w:rPr>
        <w:t>第五章  表  彰</w:t>
      </w:r>
    </w:p>
    <w:p w14:paraId="2DE327A2">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b/>
          <w:color w:val="auto"/>
          <w:spacing w:val="0"/>
          <w:kern w:val="0"/>
          <w:lang w:bidi="ar-SA"/>
        </w:rPr>
        <w:t>第十</w:t>
      </w:r>
      <w:r>
        <w:rPr>
          <w:rFonts w:hint="eastAsia" w:ascii="仿宋_GB2312" w:hAnsi="仿宋" w:cs="宋体"/>
          <w:b/>
          <w:color w:val="auto"/>
          <w:spacing w:val="0"/>
          <w:kern w:val="0"/>
          <w:lang w:val="en-US" w:eastAsia="zh-CN" w:bidi="ar-SA"/>
        </w:rPr>
        <w:t>五</w:t>
      </w:r>
      <w:r>
        <w:rPr>
          <w:rFonts w:hint="eastAsia" w:ascii="仿宋_GB2312" w:hAnsi="仿宋" w:cs="宋体"/>
          <w:b/>
          <w:color w:val="auto"/>
          <w:spacing w:val="0"/>
          <w:kern w:val="0"/>
          <w:lang w:bidi="ar-SA"/>
        </w:rPr>
        <w:t>条</w:t>
      </w:r>
      <w:r>
        <w:rPr>
          <w:rFonts w:hint="eastAsia" w:ascii="仿宋_GB2312" w:hAnsi="仿宋" w:cs="宋体"/>
          <w:color w:val="auto"/>
          <w:spacing w:val="0"/>
          <w:kern w:val="0"/>
          <w:lang w:bidi="ar-SA"/>
        </w:rPr>
        <w:t xml:space="preserve">  </w:t>
      </w:r>
      <w:r>
        <w:rPr>
          <w:rFonts w:hint="eastAsia" w:ascii="仿宋_GB2312" w:hAnsi="仿宋" w:cs="宋体"/>
          <w:color w:val="auto"/>
          <w:spacing w:val="0"/>
          <w:kern w:val="0"/>
          <w:lang w:val="en-US" w:eastAsia="zh-CN" w:bidi="ar-SA"/>
        </w:rPr>
        <w:t>通过市结构质量水平评价的项目</w:t>
      </w:r>
      <w:r>
        <w:rPr>
          <w:rFonts w:hint="eastAsia" w:ascii="仿宋_GB2312" w:hAnsi="仿宋" w:cs="宋体"/>
          <w:color w:val="auto"/>
          <w:spacing w:val="0"/>
          <w:kern w:val="0"/>
          <w:lang w:bidi="ar-SA"/>
        </w:rPr>
        <w:t>由市建筑协会发文通报表彰。对</w:t>
      </w:r>
      <w:r>
        <w:rPr>
          <w:rFonts w:hint="eastAsia" w:ascii="仿宋_GB2312" w:hAnsi="仿宋" w:cs="宋体"/>
          <w:color w:val="auto"/>
          <w:spacing w:val="0"/>
          <w:kern w:val="0"/>
          <w:lang w:val="en-US" w:eastAsia="zh-CN" w:bidi="ar-SA"/>
        </w:rPr>
        <w:t>通过市</w:t>
      </w:r>
      <w:r>
        <w:rPr>
          <w:rFonts w:hint="eastAsia" w:ascii="仿宋_GB2312" w:hAnsi="仿宋" w:cs="宋体"/>
          <w:color w:val="auto"/>
          <w:spacing w:val="0"/>
          <w:kern w:val="0"/>
          <w:lang w:bidi="ar-SA"/>
        </w:rPr>
        <w:t>“</w:t>
      </w:r>
      <w:r>
        <w:rPr>
          <w:rFonts w:hint="eastAsia" w:ascii="仿宋_GB2312" w:hAnsi="仿宋" w:cs="宋体"/>
          <w:color w:val="auto"/>
          <w:spacing w:val="0"/>
          <w:kern w:val="0"/>
          <w:lang w:val="en-US" w:eastAsia="zh-CN" w:bidi="ar-SA"/>
        </w:rPr>
        <w:t>结构质量水平评价</w:t>
      </w:r>
      <w:r>
        <w:rPr>
          <w:rFonts w:hint="eastAsia" w:ascii="仿宋_GB2312" w:hAnsi="仿宋" w:cs="宋体"/>
          <w:color w:val="auto"/>
          <w:spacing w:val="0"/>
          <w:kern w:val="0"/>
          <w:lang w:bidi="ar-SA"/>
        </w:rPr>
        <w:t>”</w:t>
      </w:r>
      <w:r>
        <w:rPr>
          <w:rFonts w:hint="eastAsia" w:ascii="仿宋_GB2312" w:hAnsi="仿宋" w:cs="宋体"/>
          <w:color w:val="auto"/>
          <w:spacing w:val="0"/>
          <w:kern w:val="0"/>
          <w:lang w:val="en-US" w:eastAsia="zh-CN" w:bidi="ar-SA"/>
        </w:rPr>
        <w:t>项目</w:t>
      </w:r>
      <w:r>
        <w:rPr>
          <w:rFonts w:hint="eastAsia" w:ascii="仿宋_GB2312" w:hAnsi="仿宋" w:cs="宋体"/>
          <w:color w:val="auto"/>
          <w:spacing w:val="0"/>
          <w:kern w:val="0"/>
          <w:lang w:bidi="ar-SA"/>
        </w:rPr>
        <w:t>的施工单位、监理单位</w:t>
      </w:r>
      <w:r>
        <w:rPr>
          <w:rFonts w:hint="eastAsia" w:ascii="仿宋_GB2312" w:hAnsi="仿宋" w:cs="宋体"/>
          <w:color w:val="auto"/>
          <w:spacing w:val="0"/>
          <w:kern w:val="0"/>
          <w:lang w:val="en-US" w:eastAsia="zh-CN" w:bidi="ar-SA"/>
        </w:rPr>
        <w:t>颁发荣誉</w:t>
      </w:r>
      <w:r>
        <w:rPr>
          <w:rFonts w:hint="eastAsia" w:ascii="仿宋_GB2312" w:hAnsi="仿宋" w:cs="宋体"/>
          <w:color w:val="auto"/>
          <w:spacing w:val="0"/>
          <w:kern w:val="0"/>
          <w:lang w:bidi="ar-SA"/>
        </w:rPr>
        <w:t>证书，并予</w:t>
      </w:r>
      <w:r>
        <w:rPr>
          <w:rFonts w:hint="eastAsia" w:ascii="仿宋_GB2312" w:hAnsi="仿宋" w:cs="宋体"/>
          <w:color w:val="auto"/>
          <w:spacing w:val="0"/>
          <w:kern w:val="0"/>
          <w:lang w:val="en-US" w:eastAsia="zh-CN" w:bidi="ar-SA"/>
        </w:rPr>
        <w:t>以</w:t>
      </w:r>
      <w:r>
        <w:rPr>
          <w:rFonts w:hint="eastAsia" w:ascii="仿宋_GB2312" w:hAnsi="仿宋" w:cs="宋体"/>
          <w:color w:val="auto"/>
          <w:spacing w:val="0"/>
          <w:kern w:val="0"/>
          <w:lang w:bidi="ar-SA"/>
        </w:rPr>
        <w:t>公布。</w:t>
      </w:r>
    </w:p>
    <w:p w14:paraId="2E97ED88">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contextualSpacing/>
        <w:jc w:val="center"/>
        <w:textAlignment w:val="auto"/>
        <w:outlineLvl w:val="9"/>
        <w:rPr>
          <w:rFonts w:hint="eastAsia" w:ascii="仿宋_GB2312" w:hAnsi="黑体" w:cs="宋体"/>
          <w:b/>
          <w:bCs/>
          <w:color w:val="auto"/>
          <w:spacing w:val="0"/>
          <w:kern w:val="0"/>
          <w:lang w:bidi="ar-SA"/>
        </w:rPr>
      </w:pPr>
      <w:r>
        <w:rPr>
          <w:rFonts w:hint="eastAsia" w:ascii="仿宋_GB2312" w:hAnsi="黑体" w:cs="宋体"/>
          <w:b/>
          <w:bCs/>
          <w:color w:val="auto"/>
          <w:spacing w:val="0"/>
          <w:kern w:val="0"/>
          <w:lang w:bidi="ar-SA"/>
        </w:rPr>
        <w:t>第六章  附  则</w:t>
      </w:r>
    </w:p>
    <w:p w14:paraId="5D0AD5E7">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color w:val="auto"/>
          <w:spacing w:val="0"/>
          <w:kern w:val="0"/>
          <w:lang w:bidi="ar-SA"/>
        </w:rPr>
      </w:pPr>
      <w:r>
        <w:rPr>
          <w:rFonts w:hint="eastAsia" w:ascii="仿宋_GB2312" w:hAnsi="仿宋" w:cs="宋体"/>
          <w:b/>
          <w:color w:val="auto"/>
          <w:spacing w:val="0"/>
          <w:kern w:val="0"/>
          <w:lang w:bidi="ar-SA"/>
        </w:rPr>
        <w:t>第十</w:t>
      </w:r>
      <w:r>
        <w:rPr>
          <w:rFonts w:hint="eastAsia" w:ascii="仿宋_GB2312" w:hAnsi="仿宋" w:cs="宋体"/>
          <w:b/>
          <w:color w:val="auto"/>
          <w:spacing w:val="0"/>
          <w:kern w:val="0"/>
          <w:lang w:val="en-US" w:eastAsia="zh-CN" w:bidi="ar-SA"/>
        </w:rPr>
        <w:t>六</w:t>
      </w:r>
      <w:r>
        <w:rPr>
          <w:rFonts w:hint="eastAsia" w:ascii="仿宋_GB2312" w:hAnsi="仿宋" w:cs="宋体"/>
          <w:b/>
          <w:color w:val="auto"/>
          <w:spacing w:val="0"/>
          <w:kern w:val="0"/>
          <w:lang w:bidi="ar-SA"/>
        </w:rPr>
        <w:t>条</w:t>
      </w:r>
      <w:r>
        <w:rPr>
          <w:rFonts w:hint="eastAsia" w:ascii="仿宋_GB2312" w:hAnsi="仿宋" w:cs="宋体"/>
          <w:color w:val="auto"/>
          <w:spacing w:val="0"/>
          <w:kern w:val="0"/>
          <w:lang w:bidi="ar-SA"/>
        </w:rPr>
        <w:t xml:space="preserve">  本办法由韶关市建筑协会负责解释。</w:t>
      </w:r>
    </w:p>
    <w:p w14:paraId="6C8964E3">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52" w:firstLineChars="200"/>
        <w:contextualSpacing/>
        <w:textAlignment w:val="auto"/>
        <w:outlineLvl w:val="9"/>
        <w:rPr>
          <w:rFonts w:hint="eastAsia" w:ascii="仿宋_GB2312" w:hAnsi="仿宋" w:cs="宋体"/>
          <w:spacing w:val="0"/>
          <w:kern w:val="0"/>
          <w:sz w:val="21"/>
          <w:szCs w:val="21"/>
          <w:lang w:bidi="ar-SA"/>
        </w:rPr>
      </w:pPr>
      <w:r>
        <w:rPr>
          <w:rFonts w:hint="eastAsia" w:ascii="仿宋_GB2312" w:hAnsi="仿宋" w:cs="宋体"/>
          <w:b/>
          <w:color w:val="auto"/>
          <w:spacing w:val="0"/>
          <w:kern w:val="0"/>
          <w:lang w:bidi="ar-SA"/>
        </w:rPr>
        <w:t>第十</w:t>
      </w:r>
      <w:r>
        <w:rPr>
          <w:rFonts w:hint="eastAsia" w:ascii="仿宋_GB2312" w:hAnsi="仿宋" w:cs="宋体"/>
          <w:b/>
          <w:color w:val="auto"/>
          <w:spacing w:val="0"/>
          <w:kern w:val="0"/>
          <w:lang w:val="en-US" w:eastAsia="zh-CN" w:bidi="ar-SA"/>
        </w:rPr>
        <w:t>七</w:t>
      </w:r>
      <w:r>
        <w:rPr>
          <w:rFonts w:hint="eastAsia" w:ascii="仿宋_GB2312" w:hAnsi="仿宋" w:cs="宋体"/>
          <w:b/>
          <w:color w:val="auto"/>
          <w:spacing w:val="0"/>
          <w:kern w:val="0"/>
          <w:lang w:bidi="ar-SA"/>
        </w:rPr>
        <w:t>条</w:t>
      </w:r>
      <w:r>
        <w:rPr>
          <w:rFonts w:hint="eastAsia" w:ascii="仿宋_GB2312" w:hAnsi="仿宋" w:cs="宋体"/>
          <w:color w:val="auto"/>
          <w:spacing w:val="0"/>
          <w:kern w:val="0"/>
          <w:lang w:bidi="ar-SA"/>
        </w:rPr>
        <w:t xml:space="preserve">  本办法自公布之日起实施。</w:t>
      </w:r>
    </w:p>
    <w:sectPr>
      <w:footerReference r:id="rId5" w:type="default"/>
      <w:footerReference r:id="rId6" w:type="even"/>
      <w:pgSz w:w="11906" w:h="16838"/>
      <w:pgMar w:top="1247" w:right="1304" w:bottom="1191" w:left="1247" w:header="851" w:footer="1134" w:gutter="0"/>
      <w:pgNumType w:start="26"/>
      <w:cols w:space="720" w:num="1"/>
      <w:docGrid w:type="linesAndChars" w:linePitch="579"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63A8">
    <w:pPr>
      <w:pStyle w:val="4"/>
      <w:tabs>
        <w:tab w:val="clear" w:pos="4153"/>
        <w:tab w:val="clear" w:pos="8306"/>
      </w:tabs>
      <w:wordWrap w:val="0"/>
      <w:ind w:right="11"/>
      <w:jc w:val="right"/>
      <w:rPr>
        <w:rFonts w:hint="eastAsia" w:ascii="楷体_GB2312" w:eastAsia="楷体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FDB16">
    <w:pPr>
      <w:pStyle w:val="4"/>
      <w:ind w:firstLine="268" w:firstLineChars="100"/>
      <w:rPr>
        <w:rFonts w:hint="eastAsia" w:ascii="楷体_GB2312" w:eastAsia="楷体_GB2312"/>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evenAndOddHeaders w:val="1"/>
  <w:drawingGridHorizontalSpacing w:val="157"/>
  <w:drawingGridVerticalSpacing w:val="579"/>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0172A27"/>
    <w:rsid w:val="000141C2"/>
    <w:rsid w:val="00014648"/>
    <w:rsid w:val="00027516"/>
    <w:rsid w:val="00031489"/>
    <w:rsid w:val="000421E1"/>
    <w:rsid w:val="00056C08"/>
    <w:rsid w:val="000B32FE"/>
    <w:rsid w:val="000C2275"/>
    <w:rsid w:val="000F3DDB"/>
    <w:rsid w:val="00110C6A"/>
    <w:rsid w:val="00117B99"/>
    <w:rsid w:val="0012148E"/>
    <w:rsid w:val="00132C7B"/>
    <w:rsid w:val="001409CA"/>
    <w:rsid w:val="00167F24"/>
    <w:rsid w:val="001730C6"/>
    <w:rsid w:val="001853AB"/>
    <w:rsid w:val="00186B1B"/>
    <w:rsid w:val="00186B7A"/>
    <w:rsid w:val="001E6CCA"/>
    <w:rsid w:val="001E7716"/>
    <w:rsid w:val="002129D4"/>
    <w:rsid w:val="002310C2"/>
    <w:rsid w:val="00251E08"/>
    <w:rsid w:val="0026223D"/>
    <w:rsid w:val="00274F3F"/>
    <w:rsid w:val="002A4D82"/>
    <w:rsid w:val="002C0006"/>
    <w:rsid w:val="002D513A"/>
    <w:rsid w:val="002E3885"/>
    <w:rsid w:val="002E7F1C"/>
    <w:rsid w:val="0030200B"/>
    <w:rsid w:val="00314B48"/>
    <w:rsid w:val="0033430F"/>
    <w:rsid w:val="0034344F"/>
    <w:rsid w:val="0035177C"/>
    <w:rsid w:val="0038048F"/>
    <w:rsid w:val="0039684B"/>
    <w:rsid w:val="003E0F6E"/>
    <w:rsid w:val="003E369A"/>
    <w:rsid w:val="00423059"/>
    <w:rsid w:val="00466DF3"/>
    <w:rsid w:val="0048102C"/>
    <w:rsid w:val="00493822"/>
    <w:rsid w:val="00493B60"/>
    <w:rsid w:val="004963A7"/>
    <w:rsid w:val="004B3711"/>
    <w:rsid w:val="004E6128"/>
    <w:rsid w:val="00506A9B"/>
    <w:rsid w:val="005314A1"/>
    <w:rsid w:val="00531673"/>
    <w:rsid w:val="00551C90"/>
    <w:rsid w:val="00590F1C"/>
    <w:rsid w:val="005A412B"/>
    <w:rsid w:val="005E3A25"/>
    <w:rsid w:val="00606F7F"/>
    <w:rsid w:val="0062768D"/>
    <w:rsid w:val="00672A81"/>
    <w:rsid w:val="006915B5"/>
    <w:rsid w:val="00695B9D"/>
    <w:rsid w:val="006B4A30"/>
    <w:rsid w:val="006D4327"/>
    <w:rsid w:val="006D4829"/>
    <w:rsid w:val="006D608B"/>
    <w:rsid w:val="006E36F2"/>
    <w:rsid w:val="00704925"/>
    <w:rsid w:val="007133A6"/>
    <w:rsid w:val="00776C9D"/>
    <w:rsid w:val="007932B5"/>
    <w:rsid w:val="007A5AEF"/>
    <w:rsid w:val="007A773F"/>
    <w:rsid w:val="007C0ACC"/>
    <w:rsid w:val="00803EBC"/>
    <w:rsid w:val="008153D9"/>
    <w:rsid w:val="008330FB"/>
    <w:rsid w:val="00837124"/>
    <w:rsid w:val="0085105C"/>
    <w:rsid w:val="0085182C"/>
    <w:rsid w:val="00852D4E"/>
    <w:rsid w:val="00874AE4"/>
    <w:rsid w:val="00875F17"/>
    <w:rsid w:val="008E01F8"/>
    <w:rsid w:val="008F6AD6"/>
    <w:rsid w:val="009071FF"/>
    <w:rsid w:val="009153D8"/>
    <w:rsid w:val="009237AF"/>
    <w:rsid w:val="009447D5"/>
    <w:rsid w:val="00955A5B"/>
    <w:rsid w:val="00963154"/>
    <w:rsid w:val="00965063"/>
    <w:rsid w:val="00987ABA"/>
    <w:rsid w:val="00987DC8"/>
    <w:rsid w:val="009A4991"/>
    <w:rsid w:val="009D1ED5"/>
    <w:rsid w:val="00A06900"/>
    <w:rsid w:val="00A10897"/>
    <w:rsid w:val="00A31435"/>
    <w:rsid w:val="00A42E7B"/>
    <w:rsid w:val="00A4308B"/>
    <w:rsid w:val="00A50B39"/>
    <w:rsid w:val="00A84C54"/>
    <w:rsid w:val="00AE198C"/>
    <w:rsid w:val="00AE30AF"/>
    <w:rsid w:val="00AE7FF4"/>
    <w:rsid w:val="00AF3243"/>
    <w:rsid w:val="00AF3A69"/>
    <w:rsid w:val="00AF5B7C"/>
    <w:rsid w:val="00B07EB6"/>
    <w:rsid w:val="00B26566"/>
    <w:rsid w:val="00B270B8"/>
    <w:rsid w:val="00B44139"/>
    <w:rsid w:val="00B52D30"/>
    <w:rsid w:val="00B8170A"/>
    <w:rsid w:val="00B87787"/>
    <w:rsid w:val="00BA2F85"/>
    <w:rsid w:val="00BA2F99"/>
    <w:rsid w:val="00BB355C"/>
    <w:rsid w:val="00BB7071"/>
    <w:rsid w:val="00C05ECF"/>
    <w:rsid w:val="00C11A49"/>
    <w:rsid w:val="00C12B71"/>
    <w:rsid w:val="00C12D24"/>
    <w:rsid w:val="00C208ED"/>
    <w:rsid w:val="00C3546D"/>
    <w:rsid w:val="00C535B4"/>
    <w:rsid w:val="00C65A4E"/>
    <w:rsid w:val="00C9368F"/>
    <w:rsid w:val="00CC2B23"/>
    <w:rsid w:val="00CE3F57"/>
    <w:rsid w:val="00D05C2E"/>
    <w:rsid w:val="00D136EB"/>
    <w:rsid w:val="00D15D7D"/>
    <w:rsid w:val="00D2770B"/>
    <w:rsid w:val="00D34753"/>
    <w:rsid w:val="00D50841"/>
    <w:rsid w:val="00D60D4A"/>
    <w:rsid w:val="00D633FD"/>
    <w:rsid w:val="00D92858"/>
    <w:rsid w:val="00D93E07"/>
    <w:rsid w:val="00D97CFB"/>
    <w:rsid w:val="00DA1282"/>
    <w:rsid w:val="00DC3A14"/>
    <w:rsid w:val="00DC7809"/>
    <w:rsid w:val="00DD2BDA"/>
    <w:rsid w:val="00DF5E0B"/>
    <w:rsid w:val="00E220A3"/>
    <w:rsid w:val="00E66A98"/>
    <w:rsid w:val="00E876F6"/>
    <w:rsid w:val="00E92415"/>
    <w:rsid w:val="00EA65AB"/>
    <w:rsid w:val="00EB41DA"/>
    <w:rsid w:val="00EC51EC"/>
    <w:rsid w:val="00EE2F59"/>
    <w:rsid w:val="00EF1387"/>
    <w:rsid w:val="00F031F9"/>
    <w:rsid w:val="00F06D8F"/>
    <w:rsid w:val="00F23C9F"/>
    <w:rsid w:val="00F33F01"/>
    <w:rsid w:val="00F54FE7"/>
    <w:rsid w:val="00F60F32"/>
    <w:rsid w:val="00F64097"/>
    <w:rsid w:val="00F7525C"/>
    <w:rsid w:val="00FD5019"/>
    <w:rsid w:val="00FF43F2"/>
    <w:rsid w:val="04DC68BC"/>
    <w:rsid w:val="08011E73"/>
    <w:rsid w:val="09CA3A46"/>
    <w:rsid w:val="0A4F494E"/>
    <w:rsid w:val="0AF80831"/>
    <w:rsid w:val="0C824587"/>
    <w:rsid w:val="0FF82623"/>
    <w:rsid w:val="13D812EE"/>
    <w:rsid w:val="16476637"/>
    <w:rsid w:val="19E73C4E"/>
    <w:rsid w:val="1C894BE2"/>
    <w:rsid w:val="1DB12F70"/>
    <w:rsid w:val="1FEA25BB"/>
    <w:rsid w:val="20287662"/>
    <w:rsid w:val="20307832"/>
    <w:rsid w:val="20874290"/>
    <w:rsid w:val="23030F6C"/>
    <w:rsid w:val="276F1381"/>
    <w:rsid w:val="2E263A76"/>
    <w:rsid w:val="328062D4"/>
    <w:rsid w:val="35995441"/>
    <w:rsid w:val="3A1C3493"/>
    <w:rsid w:val="3CCF31B7"/>
    <w:rsid w:val="3E20078F"/>
    <w:rsid w:val="3EF920AD"/>
    <w:rsid w:val="407A2355"/>
    <w:rsid w:val="4216782B"/>
    <w:rsid w:val="42286030"/>
    <w:rsid w:val="44B12E33"/>
    <w:rsid w:val="48FA4A0A"/>
    <w:rsid w:val="4B427FAA"/>
    <w:rsid w:val="4CF2369C"/>
    <w:rsid w:val="4EEE7861"/>
    <w:rsid w:val="51A04CCF"/>
    <w:rsid w:val="5662328A"/>
    <w:rsid w:val="58A77FE6"/>
    <w:rsid w:val="5BA01C71"/>
    <w:rsid w:val="5D0A5A06"/>
    <w:rsid w:val="64403DF9"/>
    <w:rsid w:val="64AC627E"/>
    <w:rsid w:val="68C94C12"/>
    <w:rsid w:val="69424782"/>
    <w:rsid w:val="6BA22E64"/>
    <w:rsid w:val="6F870AE3"/>
    <w:rsid w:val="7183780C"/>
    <w:rsid w:val="77457011"/>
    <w:rsid w:val="7CE079DF"/>
    <w:rsid w:val="7DA35A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7"/>
    <w:unhideWhenUsed/>
    <w:qFormat/>
    <w:uiPriority w:val="99"/>
    <w:pPr>
      <w:ind w:left="100" w:leftChars="2500"/>
    </w:pPr>
  </w:style>
  <w:style w:type="paragraph" w:styleId="3">
    <w:name w:val="Balloon Text"/>
    <w:basedOn w:val="1"/>
    <w:link w:val="14"/>
    <w:unhideWhenUsed/>
    <w:qFormat/>
    <w:uiPriority w:val="99"/>
    <w:pPr>
      <w:spacing w:line="240" w:lineRule="auto"/>
    </w:pPr>
    <w:rPr>
      <w:sz w:val="18"/>
      <w:szCs w:val="18"/>
    </w:r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6">
    <w:name w:val="Subtitle"/>
    <w:basedOn w:val="1"/>
    <w:next w:val="1"/>
    <w:link w:val="18"/>
    <w:qFormat/>
    <w:uiPriority w:val="0"/>
    <w:pPr>
      <w:spacing w:before="240" w:after="60" w:line="312" w:lineRule="auto"/>
      <w:jc w:val="center"/>
      <w:outlineLvl w:val="1"/>
    </w:pPr>
    <w:rPr>
      <w:rFonts w:ascii="Cambria" w:hAnsi="Cambria" w:eastAsia="宋体"/>
      <w:b/>
      <w:bCs/>
      <w:spacing w:val="0"/>
      <w:kern w:val="28"/>
      <w:lang w:bidi="ar-SA"/>
    </w:rPr>
  </w:style>
  <w:style w:type="paragraph" w:styleId="7">
    <w:name w:val="Normal (Web)"/>
    <w:basedOn w:val="1"/>
    <w:unhideWhenUsed/>
    <w:qFormat/>
    <w:uiPriority w:val="0"/>
    <w:pPr>
      <w:widowControl/>
      <w:spacing w:before="100" w:beforeAutospacing="1" w:after="100" w:afterAutospacing="1" w:line="240" w:lineRule="auto"/>
      <w:jc w:val="left"/>
    </w:pPr>
    <w:rPr>
      <w:rFonts w:ascii="宋体" w:hAnsi="宋体" w:eastAsia="宋体" w:cs="宋体"/>
      <w:spacing w:val="0"/>
      <w:kern w:val="0"/>
      <w:sz w:val="24"/>
      <w:szCs w:val="24"/>
      <w:lang w:bidi="ar-SA"/>
    </w:rPr>
  </w:style>
  <w:style w:type="character" w:styleId="10">
    <w:name w:val="page number"/>
    <w:basedOn w:val="9"/>
    <w:qFormat/>
    <w:uiPriority w:val="0"/>
  </w:style>
  <w:style w:type="character" w:styleId="11">
    <w:name w:val="FollowedHyperlink"/>
    <w:qFormat/>
    <w:uiPriority w:val="0"/>
    <w:rPr>
      <w:color w:val="800080"/>
      <w:u w:val="single"/>
    </w:rPr>
  </w:style>
  <w:style w:type="character" w:styleId="12">
    <w:name w:val="line number"/>
    <w:basedOn w:val="9"/>
    <w:qFormat/>
    <w:uiPriority w:val="0"/>
  </w:style>
  <w:style w:type="character" w:styleId="13">
    <w:name w:val="Hyperlink"/>
    <w:unhideWhenUsed/>
    <w:qFormat/>
    <w:uiPriority w:val="0"/>
    <w:rPr>
      <w:color w:val="0000FF"/>
      <w:u w:val="single"/>
    </w:rPr>
  </w:style>
  <w:style w:type="character" w:customStyle="1" w:styleId="14">
    <w:name w:val="批注框文本 Char"/>
    <w:link w:val="3"/>
    <w:semiHidden/>
    <w:qFormat/>
    <w:uiPriority w:val="99"/>
    <w:rPr>
      <w:rFonts w:eastAsia="仿宋_GB2312"/>
      <w:spacing w:val="-6"/>
      <w:kern w:val="2"/>
      <w:sz w:val="18"/>
      <w:szCs w:val="18"/>
      <w:lang w:bidi="he-IL"/>
    </w:rPr>
  </w:style>
  <w:style w:type="character" w:customStyle="1" w:styleId="15">
    <w:name w:val="z-窗体底端 Char"/>
    <w:link w:val="16"/>
    <w:qFormat/>
    <w:uiPriority w:val="0"/>
    <w:rPr>
      <w:rFonts w:ascii="Arial" w:hAnsi="Arial" w:cs="Arial"/>
      <w:vanish/>
      <w:sz w:val="16"/>
      <w:szCs w:val="16"/>
    </w:rPr>
  </w:style>
  <w:style w:type="paragraph" w:customStyle="1" w:styleId="16">
    <w:name w:val="_Style 15"/>
    <w:basedOn w:val="1"/>
    <w:next w:val="1"/>
    <w:link w:val="15"/>
    <w:unhideWhenUsed/>
    <w:qFormat/>
    <w:uiPriority w:val="0"/>
    <w:pPr>
      <w:widowControl/>
      <w:pBdr>
        <w:top w:val="single" w:color="auto" w:sz="6" w:space="1"/>
      </w:pBdr>
      <w:spacing w:line="240" w:lineRule="auto"/>
      <w:jc w:val="center"/>
    </w:pPr>
    <w:rPr>
      <w:rFonts w:ascii="Arial" w:hAnsi="Arial" w:eastAsia="宋体"/>
      <w:vanish/>
      <w:spacing w:val="0"/>
      <w:kern w:val="0"/>
      <w:sz w:val="16"/>
      <w:szCs w:val="16"/>
      <w:lang w:bidi="ar-SA"/>
    </w:rPr>
  </w:style>
  <w:style w:type="character" w:customStyle="1" w:styleId="17">
    <w:name w:val="日期 Char"/>
    <w:link w:val="2"/>
    <w:semiHidden/>
    <w:qFormat/>
    <w:uiPriority w:val="99"/>
    <w:rPr>
      <w:rFonts w:eastAsia="仿宋_GB2312"/>
      <w:spacing w:val="-6"/>
      <w:kern w:val="2"/>
      <w:sz w:val="32"/>
      <w:szCs w:val="32"/>
      <w:lang w:bidi="he-IL"/>
    </w:rPr>
  </w:style>
  <w:style w:type="character" w:customStyle="1" w:styleId="18">
    <w:name w:val="副标题 Char"/>
    <w:link w:val="6"/>
    <w:qFormat/>
    <w:uiPriority w:val="0"/>
    <w:rPr>
      <w:rFonts w:ascii="Cambria" w:hAnsi="Cambria"/>
      <w:b/>
      <w:bCs/>
      <w:kern w:val="28"/>
      <w:sz w:val="32"/>
      <w:szCs w:val="32"/>
    </w:rPr>
  </w:style>
  <w:style w:type="paragraph" w:customStyle="1" w:styleId="1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spacing w:val="0"/>
      <w:kern w:val="0"/>
      <w:sz w:val="28"/>
      <w:szCs w:val="28"/>
      <w:lang w:bidi="ar-SA"/>
    </w:rPr>
  </w:style>
  <w:style w:type="paragraph" w:customStyle="1" w:styleId="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spacing w:val="0"/>
      <w:kern w:val="0"/>
      <w:sz w:val="24"/>
      <w:szCs w:val="24"/>
      <w:lang w:bidi="ar-SA"/>
    </w:rPr>
  </w:style>
  <w:style w:type="paragraph" w:customStyle="1" w:styleId="2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cs="宋体"/>
      <w:spacing w:val="0"/>
      <w:kern w:val="0"/>
      <w:sz w:val="24"/>
      <w:szCs w:val="24"/>
      <w:lang w:bidi="ar-SA"/>
    </w:rPr>
  </w:style>
  <w:style w:type="paragraph" w:customStyle="1" w:styleId="2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spacing w:val="0"/>
      <w:kern w:val="0"/>
      <w:sz w:val="24"/>
      <w:szCs w:val="24"/>
      <w:lang w:bidi="ar-SA"/>
    </w:rPr>
  </w:style>
  <w:style w:type="paragraph" w:customStyle="1" w:styleId="2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cs="宋体"/>
      <w:spacing w:val="0"/>
      <w:kern w:val="0"/>
      <w:sz w:val="24"/>
      <w:szCs w:val="24"/>
      <w:lang w:bidi="ar-SA"/>
    </w:rPr>
  </w:style>
  <w:style w:type="paragraph" w:customStyle="1" w:styleId="2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spacing w:val="0"/>
      <w:kern w:val="0"/>
      <w:sz w:val="28"/>
      <w:szCs w:val="28"/>
      <w:lang w:bidi="ar-SA"/>
    </w:rPr>
  </w:style>
  <w:style w:type="paragraph" w:customStyle="1" w:styleId="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26">
    <w:name w:val="xl91"/>
    <w:basedOn w:val="1"/>
    <w:qFormat/>
    <w:uiPriority w:val="0"/>
    <w:pPr>
      <w:widowControl/>
      <w:shd w:val="clear" w:color="auto" w:fill="FFFFFF"/>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27">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29">
    <w:name w:val="font5"/>
    <w:basedOn w:val="1"/>
    <w:qFormat/>
    <w:uiPriority w:val="0"/>
    <w:pPr>
      <w:widowControl/>
      <w:spacing w:before="100" w:beforeAutospacing="1" w:after="100" w:afterAutospacing="1" w:line="240" w:lineRule="auto"/>
      <w:jc w:val="left"/>
    </w:pPr>
    <w:rPr>
      <w:rFonts w:ascii="宋体" w:hAnsi="宋体" w:eastAsia="宋体" w:cs="宋体"/>
      <w:spacing w:val="0"/>
      <w:kern w:val="0"/>
      <w:sz w:val="18"/>
      <w:szCs w:val="18"/>
      <w:lang w:bidi="ar-SA"/>
    </w:rPr>
  </w:style>
  <w:style w:type="paragraph" w:customStyle="1" w:styleId="30">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31">
    <w:name w:val="xl85"/>
    <w:basedOn w:val="1"/>
    <w:qFormat/>
    <w:uiPriority w:val="0"/>
    <w:pPr>
      <w:widowControl/>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3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spacing w:val="0"/>
      <w:kern w:val="0"/>
      <w:sz w:val="28"/>
      <w:szCs w:val="28"/>
      <w:lang w:bidi="ar-SA"/>
    </w:rPr>
  </w:style>
  <w:style w:type="paragraph" w:customStyle="1" w:styleId="3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_GB2312" w:hAnsi="宋体" w:cs="宋体"/>
      <w:spacing w:val="0"/>
      <w:kern w:val="0"/>
      <w:sz w:val="28"/>
      <w:szCs w:val="28"/>
      <w:lang w:bidi="ar-SA"/>
    </w:rPr>
  </w:style>
  <w:style w:type="paragraph" w:customStyle="1" w:styleId="3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cs="宋体"/>
      <w:spacing w:val="0"/>
      <w:kern w:val="0"/>
      <w:sz w:val="28"/>
      <w:szCs w:val="28"/>
      <w:lang w:bidi="ar-SA"/>
    </w:rPr>
  </w:style>
  <w:style w:type="paragraph" w:customStyle="1" w:styleId="36">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仿宋_GB2312" w:hAnsi="宋体" w:cs="宋体"/>
      <w:spacing w:val="0"/>
      <w:kern w:val="0"/>
      <w:sz w:val="28"/>
      <w:szCs w:val="2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2187</Words>
  <Characters>2228</Characters>
  <Lines>23</Lines>
  <Paragraphs>6</Paragraphs>
  <TotalTime>19</TotalTime>
  <ScaleCrop>false</ScaleCrop>
  <LinksUpToDate>false</LinksUpToDate>
  <CharactersWithSpaces>2283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2018-01-14T03:39:00Z</dcterms:created>
  <dc:creator>kampfer</dc:creator>
  <cp:lastModifiedBy>Administrator</cp:lastModifiedBy>
  <cp:lastPrinted>2025-05-08T06:33:18Z</cp:lastPrinted>
  <dcterms:modified xsi:type="dcterms:W3CDTF">2025-05-08T06:41:22Z</dcterms:modified>
  <dc:title> </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269158EBDD014EC38763BDC7C83F561C_13</vt:lpwstr>
  </property>
  <property fmtid="{D5CDD505-2E9C-101B-9397-08002B2CF9AE}" pid="4" name="KSOTemplateDocerSaveRecord">
    <vt:lpwstr>eyJoZGlkIjoiNjQ3ZmQwNmRkODZmYTJkOWE4MjM5ZTUwNDc2N2U1NzQifQ==</vt:lpwstr>
  </property>
</Properties>
</file>