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039EEBCE">
      <w:pPr>
        <w:keepNext w:val="0"/>
        <w:keepLines w:val="0"/>
        <w:pageBreakBefore w:val="0"/>
        <w:widowControl w:val="0"/>
        <w:tabs>
          <w:tab w:val="left" w:pos="628"/>
          <w:tab w:val="center" w:pos="4422"/>
        </w:tabs>
        <w:kinsoku/>
        <w:wordWrap/>
        <w:overflowPunct/>
        <w:topLinePunct w:val="0"/>
        <w:autoSpaceDE/>
        <w:autoSpaceDN/>
        <w:bidi w:val="0"/>
        <w:adjustRightInd/>
        <w:snapToGrid/>
        <w:spacing w:line="400" w:lineRule="exact"/>
        <w:contextualSpacing/>
        <w:jc w:val="left"/>
        <w:textAlignment w:val="auto"/>
        <w:rPr>
          <w:rFonts w:hint="eastAsia" w:ascii="仿宋_GB2312" w:hAnsi="宋体" w:cs="宋体"/>
          <w:b/>
          <w:bCs/>
          <w:spacing w:val="0"/>
          <w:kern w:val="0"/>
          <w:sz w:val="44"/>
          <w:szCs w:val="36"/>
          <w:lang w:bidi="ar-SA"/>
        </w:rPr>
      </w:pPr>
      <w:r>
        <w:rPr>
          <w:rFonts w:ascii="宋体" w:hAnsi="宋体" w:eastAsia="宋体" w:cs="宋体"/>
          <w:b/>
          <w:bCs/>
          <w:spacing w:val="0"/>
          <w:kern w:val="0"/>
          <w:sz w:val="44"/>
          <w:szCs w:val="36"/>
          <w:lang w:bidi="ar-SA"/>
        </w:rPr>
        <w:tab/>
      </w:r>
    </w:p>
    <w:p w14:paraId="277762D7">
      <w:pPr>
        <w:keepNext w:val="0"/>
        <w:keepLines w:val="0"/>
        <w:pageBreakBefore w:val="0"/>
        <w:widowControl w:val="0"/>
        <w:tabs>
          <w:tab w:val="left" w:pos="628"/>
          <w:tab w:val="center" w:pos="4422"/>
        </w:tabs>
        <w:kinsoku/>
        <w:wordWrap/>
        <w:overflowPunct/>
        <w:topLinePunct w:val="0"/>
        <w:autoSpaceDE/>
        <w:autoSpaceDN/>
        <w:bidi w:val="0"/>
        <w:adjustRightInd/>
        <w:snapToGrid/>
        <w:spacing w:after="292" w:afterLines="50" w:line="520" w:lineRule="exact"/>
        <w:contextualSpacing/>
        <w:jc w:val="center"/>
        <w:textAlignment w:val="auto"/>
        <w:rPr>
          <w:rFonts w:hint="eastAsia" w:ascii="华文中宋" w:hAnsi="华文中宋" w:eastAsia="华文中宋" w:cs="华文中宋"/>
          <w:b/>
          <w:bCs/>
          <w:spacing w:val="-11"/>
          <w:kern w:val="0"/>
          <w:sz w:val="30"/>
          <w:szCs w:val="30"/>
          <w:lang w:bidi="ar-SA"/>
        </w:rPr>
      </w:pPr>
      <w:r>
        <w:rPr>
          <w:rFonts w:hint="eastAsia" w:ascii="华文中宋" w:hAnsi="华文中宋" w:eastAsia="华文中宋" w:cs="华文中宋"/>
          <w:b/>
          <w:bCs/>
          <w:spacing w:val="-11"/>
          <w:kern w:val="0"/>
          <w:sz w:val="44"/>
          <w:szCs w:val="36"/>
          <w:lang w:bidi="ar-SA"/>
        </w:rPr>
        <w:t>韶关市建设工程</w:t>
      </w:r>
      <w:r>
        <w:rPr>
          <w:rFonts w:hint="eastAsia" w:ascii="华文中宋" w:hAnsi="华文中宋" w:eastAsia="华文中宋" w:cs="华文中宋"/>
          <w:b/>
          <w:bCs/>
          <w:spacing w:val="-11"/>
          <w:kern w:val="0"/>
          <w:sz w:val="44"/>
          <w:szCs w:val="36"/>
          <w:lang w:val="en-US" w:eastAsia="zh-CN" w:bidi="ar-SA"/>
        </w:rPr>
        <w:t>结构质量水平评价</w:t>
      </w:r>
      <w:r>
        <w:rPr>
          <w:rFonts w:hint="eastAsia" w:ascii="华文中宋" w:hAnsi="华文中宋" w:eastAsia="华文中宋" w:cs="华文中宋"/>
          <w:b/>
          <w:bCs/>
          <w:spacing w:val="-11"/>
          <w:kern w:val="0"/>
          <w:sz w:val="44"/>
          <w:szCs w:val="36"/>
          <w:lang w:bidi="ar-SA"/>
        </w:rPr>
        <w:t>办法</w:t>
      </w:r>
    </w:p>
    <w:p w14:paraId="5525706B">
      <w:pPr>
        <w:keepNext w:val="0"/>
        <w:keepLines w:val="0"/>
        <w:pageBreakBefore w:val="0"/>
        <w:widowControl w:val="0"/>
        <w:tabs>
          <w:tab w:val="left" w:pos="628"/>
          <w:tab w:val="center" w:pos="4422"/>
        </w:tabs>
        <w:kinsoku/>
        <w:wordWrap/>
        <w:overflowPunct/>
        <w:topLinePunct w:val="0"/>
        <w:autoSpaceDE/>
        <w:autoSpaceDN/>
        <w:bidi w:val="0"/>
        <w:adjustRightInd/>
        <w:snapToGrid/>
        <w:spacing w:before="292" w:beforeLines="50" w:after="292" w:afterLines="50" w:line="520" w:lineRule="exact"/>
        <w:contextualSpacing/>
        <w:jc w:val="center"/>
        <w:textAlignment w:val="auto"/>
        <w:rPr>
          <w:rFonts w:hint="default" w:ascii="华文中宋" w:hAnsi="华文中宋" w:eastAsia="华文中宋" w:cs="华文中宋"/>
          <w:b w:val="0"/>
          <w:bCs w:val="0"/>
          <w:spacing w:val="-11"/>
          <w:kern w:val="0"/>
          <w:sz w:val="30"/>
          <w:szCs w:val="30"/>
          <w:lang w:val="en-US" w:eastAsia="zh-CN" w:bidi="ar-SA"/>
        </w:rPr>
      </w:pPr>
      <w:r>
        <w:rPr>
          <w:rFonts w:hint="eastAsia" w:ascii="华文中宋" w:hAnsi="华文中宋" w:eastAsia="华文中宋" w:cs="华文中宋"/>
          <w:b w:val="0"/>
          <w:bCs w:val="0"/>
          <w:spacing w:val="-11"/>
          <w:kern w:val="0"/>
          <w:sz w:val="30"/>
          <w:szCs w:val="30"/>
          <w:lang w:eastAsia="zh-CN" w:bidi="ar-SA"/>
        </w:rPr>
        <w:t>（</w:t>
      </w:r>
      <w:r>
        <w:rPr>
          <w:rFonts w:hint="eastAsia" w:ascii="华文中宋" w:hAnsi="华文中宋" w:eastAsia="华文中宋" w:cs="华文中宋"/>
          <w:b w:val="0"/>
          <w:bCs w:val="0"/>
          <w:spacing w:val="-11"/>
          <w:kern w:val="0"/>
          <w:sz w:val="30"/>
          <w:szCs w:val="30"/>
          <w:lang w:val="en-US" w:eastAsia="zh-CN" w:bidi="ar-SA"/>
        </w:rPr>
        <w:t>试 行）</w:t>
      </w:r>
    </w:p>
    <w:p w14:paraId="46F65E41">
      <w:pPr>
        <w:keepNext w:val="0"/>
        <w:keepLines w:val="0"/>
        <w:pageBreakBefore w:val="0"/>
        <w:widowControl w:val="0"/>
        <w:kinsoku/>
        <w:wordWrap/>
        <w:overflowPunct/>
        <w:topLinePunct w:val="0"/>
        <w:autoSpaceDE/>
        <w:autoSpaceDN/>
        <w:bidi w:val="0"/>
        <w:adjustRightInd/>
        <w:snapToGrid/>
        <w:spacing w:line="560" w:lineRule="exact"/>
        <w:contextualSpacing/>
        <w:textAlignment w:val="auto"/>
        <w:rPr>
          <w:rFonts w:hint="eastAsia" w:ascii="仿宋_GB2312" w:hAnsi="宋体" w:cs="宋体"/>
          <w:b/>
          <w:bCs/>
          <w:color w:val="auto"/>
          <w:spacing w:val="0"/>
          <w:kern w:val="0"/>
          <w:sz w:val="30"/>
          <w:szCs w:val="30"/>
          <w:lang w:bidi="ar-SA"/>
        </w:rPr>
      </w:pPr>
    </w:p>
    <w:p w14:paraId="140F4BFB">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contextualSpacing/>
        <w:jc w:val="center"/>
        <w:textAlignment w:val="auto"/>
        <w:outlineLvl w:val="9"/>
        <w:rPr>
          <w:rFonts w:hint="eastAsia" w:ascii="仿宋_GB2312" w:hAnsi="黑体" w:cs="宋体"/>
          <w:b/>
          <w:color w:val="auto"/>
          <w:spacing w:val="0"/>
          <w:kern w:val="0"/>
          <w:lang w:bidi="ar-SA"/>
        </w:rPr>
      </w:pPr>
      <w:r>
        <w:rPr>
          <w:rFonts w:hint="eastAsia" w:ascii="仿宋_GB2312" w:hAnsi="黑体" w:cs="宋体"/>
          <w:b/>
          <w:bCs/>
          <w:color w:val="auto"/>
          <w:spacing w:val="0"/>
          <w:kern w:val="0"/>
          <w:lang w:bidi="ar-SA"/>
        </w:rPr>
        <w:t>第一章  总  则</w:t>
      </w:r>
    </w:p>
    <w:p w14:paraId="7883D2F3">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firstLine="652" w:firstLineChars="200"/>
        <w:contextualSpacing/>
        <w:textAlignment w:val="auto"/>
        <w:outlineLvl w:val="9"/>
        <w:rPr>
          <w:rFonts w:hint="eastAsia" w:ascii="仿宋_GB2312" w:hAnsi="仿宋" w:cs="宋体"/>
          <w:color w:val="auto"/>
          <w:spacing w:val="0"/>
          <w:kern w:val="0"/>
          <w:lang w:bidi="ar-SA"/>
        </w:rPr>
      </w:pPr>
      <w:r>
        <w:rPr>
          <w:rFonts w:hint="eastAsia" w:ascii="仿宋_GB2312" w:hAnsi="仿宋" w:cs="宋体"/>
          <w:b/>
          <w:color w:val="auto"/>
          <w:spacing w:val="0"/>
          <w:kern w:val="0"/>
          <w:lang w:bidi="ar-SA"/>
        </w:rPr>
        <w:t>第一条</w:t>
      </w:r>
      <w:r>
        <w:rPr>
          <w:rFonts w:hint="eastAsia" w:ascii="仿宋_GB2312" w:hAnsi="仿宋" w:cs="宋体"/>
          <w:color w:val="auto"/>
          <w:spacing w:val="0"/>
          <w:kern w:val="0"/>
          <w:lang w:bidi="ar-SA"/>
        </w:rPr>
        <w:t xml:space="preserve">  为贯彻落实《中华人民共和国建筑法》</w:t>
      </w:r>
      <w:r>
        <w:rPr>
          <w:rFonts w:hint="eastAsia" w:ascii="仿宋_GB2312" w:hAnsi="仿宋" w:cs="宋体"/>
          <w:color w:val="auto"/>
          <w:spacing w:val="0"/>
          <w:kern w:val="0"/>
          <w:lang w:eastAsia="zh-CN" w:bidi="ar-SA"/>
        </w:rPr>
        <w:t>、</w:t>
      </w:r>
      <w:r>
        <w:rPr>
          <w:rFonts w:hint="eastAsia" w:ascii="仿宋_GB2312" w:hAnsi="仿宋" w:cs="宋体"/>
          <w:color w:val="auto"/>
          <w:spacing w:val="0"/>
          <w:kern w:val="0"/>
          <w:lang w:bidi="ar-SA"/>
        </w:rPr>
        <w:t>《建设工程质量管理条例》，坚持“百年大计、质量第一”的方针，引导和激励工程参建各方加强过程控制，保证结构安全，提高建设工程质量水平，结合我市实际，制定本办法。</w:t>
      </w:r>
    </w:p>
    <w:p w14:paraId="5E352AEF">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firstLine="652" w:firstLineChars="200"/>
        <w:contextualSpacing/>
        <w:textAlignment w:val="auto"/>
        <w:outlineLvl w:val="9"/>
        <w:rPr>
          <w:rFonts w:hint="eastAsia" w:ascii="仿宋_GB2312" w:hAnsi="仿宋" w:cs="宋体"/>
          <w:color w:val="auto"/>
          <w:spacing w:val="0"/>
          <w:kern w:val="0"/>
          <w:lang w:bidi="ar-SA"/>
        </w:rPr>
      </w:pPr>
      <w:r>
        <w:rPr>
          <w:rFonts w:hint="eastAsia" w:ascii="仿宋_GB2312" w:hAnsi="仿宋" w:cs="宋体"/>
          <w:b/>
          <w:color w:val="auto"/>
          <w:spacing w:val="0"/>
          <w:kern w:val="0"/>
          <w:lang w:bidi="ar-SA"/>
        </w:rPr>
        <w:t>第二条</w:t>
      </w:r>
      <w:r>
        <w:rPr>
          <w:rFonts w:hint="eastAsia" w:ascii="仿宋_GB2312" w:hAnsi="仿宋" w:cs="宋体"/>
          <w:color w:val="auto"/>
          <w:spacing w:val="0"/>
          <w:kern w:val="0"/>
          <w:lang w:bidi="ar-SA"/>
        </w:rPr>
        <w:t xml:space="preserve">  韶关市建设工程</w:t>
      </w:r>
      <w:r>
        <w:rPr>
          <w:rFonts w:hint="eastAsia" w:ascii="仿宋_GB2312" w:hAnsi="仿宋" w:cs="宋体"/>
          <w:color w:val="auto"/>
          <w:spacing w:val="0"/>
          <w:kern w:val="0"/>
          <w:lang w:val="en-US" w:eastAsia="zh-CN" w:bidi="ar-SA"/>
        </w:rPr>
        <w:t>结构质量水平评价</w:t>
      </w:r>
      <w:r>
        <w:rPr>
          <w:rFonts w:hint="eastAsia" w:ascii="仿宋_GB2312" w:hAnsi="仿宋" w:cs="宋体"/>
          <w:color w:val="auto"/>
          <w:spacing w:val="0"/>
          <w:kern w:val="0"/>
          <w:lang w:bidi="ar-SA"/>
        </w:rPr>
        <w:t>（以下简称“市</w:t>
      </w:r>
      <w:r>
        <w:rPr>
          <w:rFonts w:hint="eastAsia" w:ascii="仿宋_GB2312" w:hAnsi="仿宋" w:cs="宋体"/>
          <w:color w:val="auto"/>
          <w:spacing w:val="0"/>
          <w:kern w:val="0"/>
          <w:lang w:val="en-US" w:eastAsia="zh-CN" w:bidi="ar-SA"/>
        </w:rPr>
        <w:t>结构质量水平评价</w:t>
      </w:r>
      <w:r>
        <w:rPr>
          <w:rFonts w:hint="eastAsia" w:ascii="仿宋_GB2312" w:hAnsi="仿宋" w:cs="宋体"/>
          <w:color w:val="auto"/>
          <w:spacing w:val="0"/>
          <w:kern w:val="0"/>
          <w:lang w:bidi="ar-SA"/>
        </w:rPr>
        <w:t>”）评</w:t>
      </w:r>
      <w:r>
        <w:rPr>
          <w:rFonts w:hint="eastAsia" w:ascii="仿宋_GB2312" w:hAnsi="仿宋" w:cs="宋体"/>
          <w:color w:val="auto"/>
          <w:spacing w:val="0"/>
          <w:kern w:val="0"/>
          <w:lang w:val="en-US" w:eastAsia="zh-CN" w:bidi="ar-SA"/>
        </w:rPr>
        <w:t>价</w:t>
      </w:r>
      <w:r>
        <w:rPr>
          <w:rFonts w:hint="eastAsia" w:ascii="仿宋_GB2312" w:hAnsi="仿宋" w:cs="宋体"/>
          <w:color w:val="auto"/>
          <w:spacing w:val="0"/>
          <w:kern w:val="0"/>
          <w:lang w:bidi="ar-SA"/>
        </w:rPr>
        <w:t>对象为我市行政区域内依法建设的建设工程项目。</w:t>
      </w:r>
      <w:r>
        <w:rPr>
          <w:rFonts w:hint="eastAsia" w:ascii="仿宋_GB2312"/>
        </w:rPr>
        <w:t>由韶关市建筑协会组织实施，每年</w:t>
      </w:r>
      <w:r>
        <w:rPr>
          <w:rFonts w:hint="eastAsia" w:ascii="仿宋_GB2312"/>
          <w:lang w:val="en-US" w:eastAsia="zh-CN"/>
        </w:rPr>
        <w:t>动态申报</w:t>
      </w:r>
      <w:r>
        <w:rPr>
          <w:rFonts w:hint="eastAsia" w:ascii="仿宋_GB2312"/>
        </w:rPr>
        <w:t>。评</w:t>
      </w:r>
      <w:r>
        <w:rPr>
          <w:rFonts w:hint="eastAsia" w:ascii="仿宋_GB2312"/>
          <w:lang w:val="en-US" w:eastAsia="zh-CN"/>
        </w:rPr>
        <w:t>价</w:t>
      </w:r>
      <w:r>
        <w:rPr>
          <w:rFonts w:hint="eastAsia" w:ascii="仿宋_GB2312"/>
        </w:rPr>
        <w:t>活动接受市住房和城乡建设管理局的业务</w:t>
      </w:r>
      <w:r>
        <w:rPr>
          <w:rFonts w:hint="eastAsia" w:ascii="仿宋_GB2312"/>
          <w:lang w:val="en-US" w:eastAsia="zh-CN"/>
        </w:rPr>
        <w:t>监督和</w:t>
      </w:r>
      <w:r>
        <w:rPr>
          <w:rFonts w:hint="eastAsia" w:ascii="仿宋_GB2312"/>
        </w:rPr>
        <w:t>指导</w:t>
      </w:r>
      <w:r>
        <w:rPr>
          <w:rFonts w:hint="eastAsia" w:ascii="仿宋_GB2312"/>
          <w:lang w:eastAsia="zh-CN"/>
        </w:rPr>
        <w:t>，</w:t>
      </w:r>
      <w:r>
        <w:rPr>
          <w:rFonts w:hint="eastAsia" w:ascii="仿宋_GB2312" w:hAnsi="仿宋" w:cs="宋体"/>
          <w:color w:val="auto"/>
          <w:spacing w:val="0"/>
          <w:kern w:val="0"/>
          <w:lang w:bidi="ar-SA"/>
        </w:rPr>
        <w:t>评</w:t>
      </w:r>
      <w:r>
        <w:rPr>
          <w:rFonts w:hint="eastAsia" w:ascii="仿宋_GB2312" w:hAnsi="仿宋" w:cs="宋体"/>
          <w:color w:val="auto"/>
          <w:spacing w:val="0"/>
          <w:kern w:val="0"/>
          <w:lang w:val="en-US" w:eastAsia="zh-CN" w:bidi="ar-SA"/>
        </w:rPr>
        <w:t>价</w:t>
      </w:r>
      <w:r>
        <w:rPr>
          <w:rFonts w:hint="eastAsia" w:ascii="仿宋_GB2312" w:hAnsi="仿宋" w:cs="宋体"/>
          <w:color w:val="auto"/>
          <w:spacing w:val="0"/>
          <w:kern w:val="0"/>
          <w:lang w:bidi="ar-SA"/>
        </w:rPr>
        <w:t>结果报市住房和城乡建设管理局备案。</w:t>
      </w:r>
    </w:p>
    <w:p w14:paraId="471430CD">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firstLine="652" w:firstLineChars="200"/>
        <w:contextualSpacing/>
        <w:textAlignment w:val="auto"/>
        <w:outlineLvl w:val="9"/>
        <w:rPr>
          <w:rFonts w:hint="eastAsia" w:ascii="仿宋_GB2312" w:hAnsi="仿宋" w:cs="宋体"/>
          <w:color w:val="auto"/>
          <w:spacing w:val="0"/>
          <w:kern w:val="0"/>
          <w:lang w:bidi="ar-SA"/>
        </w:rPr>
      </w:pPr>
      <w:r>
        <w:rPr>
          <w:rFonts w:hint="eastAsia" w:ascii="仿宋_GB2312" w:hAnsi="仿宋" w:cs="宋体"/>
          <w:b/>
          <w:color w:val="auto"/>
          <w:spacing w:val="0"/>
          <w:kern w:val="0"/>
          <w:lang w:bidi="ar-SA"/>
        </w:rPr>
        <w:t>第三条</w:t>
      </w:r>
      <w:r>
        <w:rPr>
          <w:rFonts w:hint="eastAsia" w:ascii="仿宋_GB2312" w:hAnsi="仿宋" w:cs="宋体"/>
          <w:color w:val="auto"/>
          <w:spacing w:val="0"/>
          <w:kern w:val="0"/>
          <w:lang w:bidi="ar-SA"/>
        </w:rPr>
        <w:t xml:space="preserve"> 市</w:t>
      </w:r>
      <w:r>
        <w:rPr>
          <w:rFonts w:hint="eastAsia" w:ascii="仿宋_GB2312" w:hAnsi="仿宋" w:cs="宋体"/>
          <w:color w:val="auto"/>
          <w:spacing w:val="0"/>
          <w:kern w:val="0"/>
          <w:lang w:val="en-US" w:eastAsia="zh-CN" w:bidi="ar-SA"/>
        </w:rPr>
        <w:t>结构质量水平评价</w:t>
      </w:r>
      <w:r>
        <w:rPr>
          <w:rFonts w:hint="eastAsia" w:ascii="仿宋_GB2312" w:hAnsi="仿宋" w:cs="宋体"/>
          <w:color w:val="auto"/>
          <w:spacing w:val="0"/>
          <w:kern w:val="0"/>
          <w:lang w:bidi="ar-SA"/>
        </w:rPr>
        <w:t>由施工总承包企业按项目属地原则自愿申报。工程所在地县（市）建筑业协会择优向市建筑协会推荐参评项目，市区工程直接报送市建筑协会。</w:t>
      </w:r>
    </w:p>
    <w:p w14:paraId="28534A1C">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firstLine="652" w:firstLineChars="200"/>
        <w:contextualSpacing/>
        <w:textAlignment w:val="auto"/>
        <w:outlineLvl w:val="9"/>
        <w:rPr>
          <w:rFonts w:hint="eastAsia" w:ascii="仿宋_GB2312" w:hAnsi="仿宋" w:cs="宋体"/>
          <w:color w:val="auto"/>
          <w:spacing w:val="0"/>
          <w:kern w:val="0"/>
          <w:lang w:bidi="ar-SA"/>
        </w:rPr>
      </w:pPr>
      <w:r>
        <w:rPr>
          <w:rFonts w:hint="eastAsia" w:ascii="仿宋_GB2312" w:hAnsi="仿宋" w:cs="宋体"/>
          <w:b/>
          <w:color w:val="auto"/>
          <w:spacing w:val="0"/>
          <w:kern w:val="0"/>
          <w:lang w:bidi="ar-SA"/>
        </w:rPr>
        <w:t>第四条</w:t>
      </w:r>
      <w:r>
        <w:rPr>
          <w:rFonts w:hint="eastAsia" w:ascii="仿宋_GB2312" w:hAnsi="仿宋" w:cs="宋体"/>
          <w:color w:val="auto"/>
          <w:spacing w:val="0"/>
          <w:kern w:val="0"/>
          <w:lang w:bidi="ar-SA"/>
        </w:rPr>
        <w:t xml:space="preserve"> 韶关市建筑协会负责市</w:t>
      </w:r>
      <w:r>
        <w:rPr>
          <w:rFonts w:hint="eastAsia" w:ascii="仿宋_GB2312" w:hAnsi="仿宋" w:cs="宋体"/>
          <w:color w:val="auto"/>
          <w:spacing w:val="0"/>
          <w:kern w:val="0"/>
          <w:lang w:val="en-US" w:eastAsia="zh-CN" w:bidi="ar-SA"/>
        </w:rPr>
        <w:t>结构质量水平评价</w:t>
      </w:r>
      <w:r>
        <w:rPr>
          <w:rFonts w:hint="eastAsia" w:ascii="仿宋_GB2312" w:hAnsi="仿宋" w:cs="宋体"/>
          <w:color w:val="auto"/>
          <w:spacing w:val="0"/>
          <w:kern w:val="0"/>
          <w:lang w:bidi="ar-SA"/>
        </w:rPr>
        <w:t>的组织工作，市</w:t>
      </w:r>
      <w:r>
        <w:rPr>
          <w:rFonts w:hint="eastAsia" w:ascii="仿宋_GB2312" w:hAnsi="仿宋" w:cs="宋体"/>
          <w:color w:val="auto"/>
          <w:spacing w:val="0"/>
          <w:kern w:val="0"/>
          <w:lang w:val="en-US" w:eastAsia="zh-CN" w:bidi="ar-SA"/>
        </w:rPr>
        <w:t>结构质量水平评价项目</w:t>
      </w:r>
      <w:r>
        <w:rPr>
          <w:rFonts w:hint="eastAsia" w:ascii="仿宋_GB2312" w:hAnsi="仿宋" w:cs="宋体"/>
          <w:color w:val="auto"/>
          <w:spacing w:val="0"/>
          <w:kern w:val="0"/>
          <w:lang w:bidi="ar-SA"/>
        </w:rPr>
        <w:t>每年</w:t>
      </w:r>
      <w:r>
        <w:rPr>
          <w:rFonts w:hint="eastAsia" w:ascii="仿宋_GB2312" w:hAnsi="仿宋" w:cs="宋体"/>
          <w:color w:val="auto"/>
          <w:spacing w:val="0"/>
          <w:kern w:val="0"/>
          <w:lang w:val="en-US" w:eastAsia="zh-CN" w:bidi="ar-SA"/>
        </w:rPr>
        <w:t>公布两次</w:t>
      </w:r>
      <w:r>
        <w:rPr>
          <w:rFonts w:hint="eastAsia" w:ascii="仿宋_GB2312" w:hAnsi="仿宋"/>
          <w:bCs/>
          <w:color w:val="auto"/>
          <w:spacing w:val="0"/>
          <w:lang w:bidi="ar-SA"/>
        </w:rPr>
        <w:t>。</w:t>
      </w:r>
    </w:p>
    <w:p w14:paraId="663A2B2F">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contextualSpacing/>
        <w:jc w:val="center"/>
        <w:textAlignment w:val="auto"/>
        <w:outlineLvl w:val="9"/>
        <w:rPr>
          <w:rFonts w:hint="eastAsia" w:ascii="仿宋_GB2312" w:hAnsi="黑体" w:cs="宋体"/>
          <w:b/>
          <w:bCs/>
          <w:color w:val="auto"/>
          <w:spacing w:val="0"/>
          <w:kern w:val="0"/>
          <w:lang w:bidi="ar-SA"/>
        </w:rPr>
      </w:pPr>
      <w:r>
        <w:rPr>
          <w:rFonts w:hint="eastAsia" w:ascii="仿宋_GB2312" w:hAnsi="黑体" w:cs="宋体"/>
          <w:b/>
          <w:bCs/>
          <w:color w:val="auto"/>
          <w:spacing w:val="0"/>
          <w:kern w:val="0"/>
          <w:lang w:bidi="ar-SA"/>
        </w:rPr>
        <w:t>第二章  申报条件、范围</w:t>
      </w:r>
      <w:bookmarkStart w:id="0" w:name="_GoBack"/>
      <w:bookmarkEnd w:id="0"/>
    </w:p>
    <w:p w14:paraId="75BDCA37">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firstLine="652" w:firstLineChars="200"/>
        <w:contextualSpacing/>
        <w:textAlignment w:val="auto"/>
        <w:outlineLvl w:val="9"/>
        <w:rPr>
          <w:rFonts w:hint="eastAsia" w:ascii="仿宋_GB2312" w:hAnsi="仿宋" w:cs="宋体"/>
          <w:color w:val="auto"/>
          <w:spacing w:val="0"/>
          <w:kern w:val="0"/>
          <w:lang w:bidi="ar-SA"/>
        </w:rPr>
      </w:pPr>
      <w:r>
        <w:rPr>
          <w:rFonts w:hint="eastAsia" w:ascii="仿宋_GB2312" w:hAnsi="仿宋" w:cs="宋体"/>
          <w:b/>
          <w:color w:val="auto"/>
          <w:spacing w:val="0"/>
          <w:kern w:val="0"/>
          <w:lang w:bidi="ar-SA"/>
        </w:rPr>
        <w:t>第五条</w:t>
      </w:r>
      <w:r>
        <w:rPr>
          <w:rFonts w:hint="eastAsia" w:ascii="仿宋_GB2312" w:hAnsi="仿宋" w:cs="宋体"/>
          <w:color w:val="auto"/>
          <w:spacing w:val="0"/>
          <w:kern w:val="0"/>
          <w:lang w:bidi="ar-SA"/>
        </w:rPr>
        <w:t xml:space="preserve">  申报条件</w:t>
      </w:r>
    </w:p>
    <w:p w14:paraId="0D0124F5">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firstLine="652" w:firstLineChars="200"/>
        <w:contextualSpacing/>
        <w:textAlignment w:val="auto"/>
        <w:outlineLvl w:val="9"/>
        <w:rPr>
          <w:rFonts w:hint="eastAsia" w:ascii="仿宋_GB2312" w:hAnsi="仿宋" w:cs="宋体"/>
          <w:color w:val="auto"/>
          <w:spacing w:val="0"/>
          <w:kern w:val="0"/>
          <w:lang w:bidi="ar-SA"/>
        </w:rPr>
      </w:pPr>
      <w:r>
        <w:rPr>
          <w:rFonts w:hint="eastAsia" w:ascii="仿宋_GB2312" w:hAnsi="仿宋" w:cs="宋体"/>
          <w:color w:val="auto"/>
          <w:spacing w:val="0"/>
          <w:kern w:val="0"/>
          <w:lang w:bidi="ar-SA"/>
        </w:rPr>
        <w:t>申报市</w:t>
      </w:r>
      <w:r>
        <w:rPr>
          <w:rFonts w:hint="eastAsia" w:ascii="仿宋_GB2312" w:hAnsi="仿宋" w:cs="宋体"/>
          <w:color w:val="auto"/>
          <w:spacing w:val="0"/>
          <w:kern w:val="0"/>
          <w:lang w:val="en-US" w:eastAsia="zh-CN" w:bidi="ar-SA"/>
        </w:rPr>
        <w:t>结构质量水平评价</w:t>
      </w:r>
      <w:r>
        <w:rPr>
          <w:rFonts w:hint="eastAsia" w:ascii="仿宋_GB2312" w:hAnsi="仿宋" w:cs="宋体"/>
          <w:color w:val="auto"/>
          <w:spacing w:val="0"/>
          <w:kern w:val="0"/>
          <w:lang w:bidi="ar-SA"/>
        </w:rPr>
        <w:t>的工程项目，须具备下列条件：</w:t>
      </w:r>
    </w:p>
    <w:p w14:paraId="00A66F49">
      <w:pPr>
        <w:keepNext w:val="0"/>
        <w:keepLines w:val="0"/>
        <w:pageBreakBefore w:val="0"/>
        <w:widowControl w:val="0"/>
        <w:kinsoku/>
        <w:wordWrap/>
        <w:overflowPunct/>
        <w:topLinePunct w:val="0"/>
        <w:autoSpaceDE/>
        <w:autoSpaceDN/>
        <w:bidi w:val="0"/>
        <w:adjustRightInd w:val="0"/>
        <w:snapToGrid w:val="0"/>
        <w:spacing w:line="640" w:lineRule="exact"/>
        <w:ind w:right="0" w:rightChars="0" w:firstLine="326" w:firstLineChars="100"/>
        <w:contextualSpacing/>
        <w:textAlignment w:val="auto"/>
        <w:outlineLvl w:val="9"/>
        <w:rPr>
          <w:rFonts w:hint="eastAsia" w:ascii="仿宋_GB2312" w:hAnsi="仿宋" w:cs="宋体"/>
          <w:color w:val="auto"/>
          <w:spacing w:val="0"/>
          <w:kern w:val="0"/>
          <w:lang w:bidi="ar-SA"/>
        </w:rPr>
      </w:pPr>
      <w:r>
        <w:rPr>
          <w:rFonts w:hint="eastAsia" w:ascii="仿宋_GB2312" w:hAnsi="仿宋" w:cs="宋体"/>
          <w:color w:val="auto"/>
          <w:spacing w:val="0"/>
          <w:kern w:val="0"/>
          <w:lang w:bidi="ar-SA"/>
        </w:rPr>
        <w:t>（一）符合基本建设程序，符合国家和省、市有关工程建设和质量管理的法律、法规、标准和规定；</w:t>
      </w:r>
    </w:p>
    <w:p w14:paraId="61A93B80">
      <w:pPr>
        <w:keepNext w:val="0"/>
        <w:keepLines w:val="0"/>
        <w:pageBreakBefore w:val="0"/>
        <w:widowControl w:val="0"/>
        <w:kinsoku/>
        <w:wordWrap/>
        <w:overflowPunct/>
        <w:topLinePunct w:val="0"/>
        <w:autoSpaceDE/>
        <w:autoSpaceDN/>
        <w:bidi w:val="0"/>
        <w:adjustRightInd w:val="0"/>
        <w:snapToGrid w:val="0"/>
        <w:spacing w:line="640" w:lineRule="exact"/>
        <w:ind w:right="0" w:rightChars="0" w:firstLine="326" w:firstLineChars="100"/>
        <w:contextualSpacing/>
        <w:textAlignment w:val="auto"/>
        <w:outlineLvl w:val="9"/>
        <w:rPr>
          <w:rFonts w:hint="eastAsia" w:ascii="仿宋_GB2312" w:hAnsi="仿宋" w:cs="宋体"/>
          <w:color w:val="auto"/>
          <w:spacing w:val="0"/>
          <w:kern w:val="0"/>
          <w:lang w:bidi="ar-SA"/>
        </w:rPr>
      </w:pPr>
      <w:r>
        <w:rPr>
          <w:rFonts w:hint="eastAsia" w:ascii="仿宋_GB2312" w:hAnsi="仿宋" w:cs="宋体"/>
          <w:color w:val="auto"/>
          <w:spacing w:val="0"/>
          <w:kern w:val="0"/>
          <w:lang w:bidi="ar-SA"/>
        </w:rPr>
        <w:t>（二）工程结构设计科学合理，经施工图审查机构审查合格；</w:t>
      </w:r>
    </w:p>
    <w:p w14:paraId="36E13C52">
      <w:pPr>
        <w:keepNext w:val="0"/>
        <w:keepLines w:val="0"/>
        <w:pageBreakBefore w:val="0"/>
        <w:widowControl w:val="0"/>
        <w:kinsoku/>
        <w:wordWrap/>
        <w:overflowPunct/>
        <w:topLinePunct w:val="0"/>
        <w:autoSpaceDE/>
        <w:autoSpaceDN/>
        <w:bidi w:val="0"/>
        <w:adjustRightInd w:val="0"/>
        <w:snapToGrid w:val="0"/>
        <w:spacing w:line="640" w:lineRule="exact"/>
        <w:ind w:right="0" w:rightChars="0" w:firstLine="326" w:firstLineChars="100"/>
        <w:contextualSpacing/>
        <w:textAlignment w:val="auto"/>
        <w:outlineLvl w:val="9"/>
        <w:rPr>
          <w:rFonts w:hint="eastAsia" w:ascii="仿宋_GB2312" w:hAnsi="仿宋" w:cs="宋体"/>
          <w:color w:val="auto"/>
          <w:spacing w:val="0"/>
          <w:kern w:val="0"/>
          <w:lang w:bidi="ar-SA"/>
        </w:rPr>
      </w:pPr>
      <w:r>
        <w:rPr>
          <w:rFonts w:hint="eastAsia" w:ascii="仿宋_GB2312" w:hAnsi="仿宋" w:cs="宋体"/>
          <w:color w:val="auto"/>
          <w:spacing w:val="0"/>
          <w:kern w:val="0"/>
          <w:lang w:bidi="ar-SA"/>
        </w:rPr>
        <w:t>（三）施工管理规范，有科学合理的施工组织设计及施工方案、结构工程创优计划和可行的质量保证措施，符合节能环保、绿色施工要求；</w:t>
      </w:r>
    </w:p>
    <w:p w14:paraId="482DFB27">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firstLine="318" w:firstLineChars="98"/>
        <w:contextualSpacing/>
        <w:textAlignment w:val="auto"/>
        <w:outlineLvl w:val="9"/>
        <w:rPr>
          <w:rFonts w:hint="eastAsia" w:ascii="仿宋_GB2312" w:hAnsi="仿宋" w:cs="宋体"/>
          <w:color w:val="auto"/>
          <w:spacing w:val="0"/>
          <w:kern w:val="0"/>
          <w:lang w:bidi="ar-SA"/>
        </w:rPr>
      </w:pPr>
      <w:r>
        <w:rPr>
          <w:rFonts w:hint="eastAsia" w:ascii="仿宋_GB2312" w:hAnsi="仿宋" w:cs="宋体"/>
          <w:color w:val="auto"/>
          <w:spacing w:val="0"/>
          <w:kern w:val="0"/>
          <w:lang w:bidi="ar-SA"/>
        </w:rPr>
        <w:t>（四）过程控制严格有效，施工工艺和实体质量符合设计图纸和有关规范、规程、标准的要求，施工过程中严格按照有关规定组织验收，各项技术保证资料齐全、真实、有效，无违反工程建设强制性标准的情况；</w:t>
      </w:r>
    </w:p>
    <w:p w14:paraId="79F86C86">
      <w:pPr>
        <w:keepNext w:val="0"/>
        <w:keepLines w:val="0"/>
        <w:pageBreakBefore w:val="0"/>
        <w:widowControl w:val="0"/>
        <w:kinsoku/>
        <w:wordWrap/>
        <w:overflowPunct/>
        <w:topLinePunct w:val="0"/>
        <w:autoSpaceDE/>
        <w:autoSpaceDN/>
        <w:bidi w:val="0"/>
        <w:adjustRightInd w:val="0"/>
        <w:snapToGrid w:val="0"/>
        <w:spacing w:line="640" w:lineRule="exact"/>
        <w:ind w:right="0" w:rightChars="0" w:firstLine="326" w:firstLineChars="100"/>
        <w:contextualSpacing/>
        <w:textAlignment w:val="auto"/>
        <w:outlineLvl w:val="9"/>
        <w:rPr>
          <w:rFonts w:hint="eastAsia" w:ascii="仿宋_GB2312" w:hAnsi="仿宋" w:cs="宋体"/>
          <w:color w:val="auto"/>
          <w:spacing w:val="0"/>
          <w:kern w:val="0"/>
          <w:lang w:bidi="ar-SA"/>
        </w:rPr>
      </w:pPr>
      <w:r>
        <w:rPr>
          <w:rFonts w:hint="eastAsia" w:ascii="仿宋_GB2312" w:hAnsi="仿宋" w:cs="宋体"/>
          <w:color w:val="auto"/>
          <w:spacing w:val="0"/>
          <w:kern w:val="0"/>
          <w:lang w:bidi="ar-SA"/>
        </w:rPr>
        <w:t>（五）科技含量较高，应用三项以上“建筑业十项新技术”；</w:t>
      </w:r>
    </w:p>
    <w:p w14:paraId="1B180697">
      <w:pPr>
        <w:keepNext w:val="0"/>
        <w:keepLines w:val="0"/>
        <w:pageBreakBefore w:val="0"/>
        <w:widowControl w:val="0"/>
        <w:kinsoku/>
        <w:wordWrap/>
        <w:overflowPunct/>
        <w:topLinePunct w:val="0"/>
        <w:autoSpaceDE/>
        <w:autoSpaceDN/>
        <w:bidi w:val="0"/>
        <w:adjustRightInd w:val="0"/>
        <w:snapToGrid w:val="0"/>
        <w:spacing w:line="640" w:lineRule="exact"/>
        <w:ind w:right="0" w:rightChars="0" w:firstLine="326" w:firstLineChars="100"/>
        <w:contextualSpacing/>
        <w:textAlignment w:val="auto"/>
        <w:outlineLvl w:val="9"/>
        <w:rPr>
          <w:rFonts w:hint="eastAsia" w:ascii="仿宋_GB2312" w:hAnsi="仿宋" w:cs="宋体"/>
          <w:color w:val="auto"/>
          <w:spacing w:val="0"/>
          <w:kern w:val="0"/>
          <w:lang w:bidi="ar-SA"/>
        </w:rPr>
      </w:pPr>
      <w:r>
        <w:rPr>
          <w:rFonts w:hint="eastAsia" w:ascii="仿宋_GB2312" w:hAnsi="仿宋" w:cs="宋体"/>
          <w:color w:val="auto"/>
          <w:spacing w:val="0"/>
          <w:kern w:val="0"/>
          <w:lang w:bidi="ar-SA"/>
        </w:rPr>
        <w:t>（六）施工过程中未发生过质量事故、较大以上生产安全事故以及在社会上造成恶劣影响的其他事件。</w:t>
      </w:r>
    </w:p>
    <w:p w14:paraId="1C27D06A">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firstLine="619" w:firstLineChars="190"/>
        <w:contextualSpacing/>
        <w:textAlignment w:val="auto"/>
        <w:outlineLvl w:val="9"/>
        <w:rPr>
          <w:rFonts w:hint="eastAsia" w:ascii="仿宋_GB2312" w:hAnsi="仿宋" w:cs="宋体"/>
          <w:color w:val="auto"/>
          <w:spacing w:val="0"/>
          <w:kern w:val="0"/>
          <w:lang w:bidi="ar-SA"/>
        </w:rPr>
      </w:pPr>
      <w:r>
        <w:rPr>
          <w:rFonts w:hint="eastAsia" w:ascii="仿宋_GB2312" w:hAnsi="仿宋" w:cs="宋体"/>
          <w:b/>
          <w:color w:val="auto"/>
          <w:spacing w:val="0"/>
          <w:kern w:val="0"/>
          <w:lang w:bidi="ar-SA"/>
        </w:rPr>
        <w:t>第六条</w:t>
      </w:r>
      <w:r>
        <w:rPr>
          <w:rFonts w:hint="eastAsia" w:ascii="仿宋_GB2312" w:hAnsi="仿宋" w:cs="宋体"/>
          <w:color w:val="auto"/>
          <w:spacing w:val="0"/>
          <w:kern w:val="0"/>
          <w:lang w:bidi="ar-SA"/>
        </w:rPr>
        <w:t xml:space="preserve">  申报范围</w:t>
      </w:r>
    </w:p>
    <w:p w14:paraId="204EA823">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firstLine="652" w:firstLineChars="200"/>
        <w:contextualSpacing/>
        <w:textAlignment w:val="auto"/>
        <w:outlineLvl w:val="9"/>
        <w:rPr>
          <w:rFonts w:hint="eastAsia" w:ascii="仿宋_GB2312" w:hAnsi="仿宋" w:cs="宋体"/>
          <w:color w:val="auto"/>
          <w:spacing w:val="0"/>
          <w:kern w:val="0"/>
          <w:lang w:bidi="ar-SA"/>
        </w:rPr>
      </w:pPr>
      <w:r>
        <w:rPr>
          <w:rFonts w:hint="eastAsia" w:ascii="仿宋_GB2312" w:hAnsi="仿宋" w:cs="宋体"/>
          <w:color w:val="auto"/>
          <w:spacing w:val="0"/>
          <w:kern w:val="0"/>
          <w:lang w:bidi="ar-SA"/>
        </w:rPr>
        <w:t>凡在本市行政区域内建设的具有独立生产和使用功能的下列建设工程，均可申报市结构</w:t>
      </w:r>
      <w:r>
        <w:rPr>
          <w:rFonts w:hint="eastAsia" w:ascii="仿宋_GB2312" w:hAnsi="仿宋" w:cs="宋体"/>
          <w:color w:val="auto"/>
          <w:spacing w:val="0"/>
          <w:kern w:val="0"/>
          <w:lang w:val="en-US" w:eastAsia="zh-CN" w:bidi="ar-SA"/>
        </w:rPr>
        <w:t>质量水平评价项目</w:t>
      </w:r>
      <w:r>
        <w:rPr>
          <w:rFonts w:hint="eastAsia" w:ascii="仿宋_GB2312" w:hAnsi="仿宋" w:cs="宋体"/>
          <w:color w:val="auto"/>
          <w:spacing w:val="0"/>
          <w:kern w:val="0"/>
          <w:lang w:bidi="ar-SA"/>
        </w:rPr>
        <w:t>。</w:t>
      </w:r>
    </w:p>
    <w:p w14:paraId="29AD618C">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firstLine="652" w:firstLineChars="200"/>
        <w:contextualSpacing/>
        <w:textAlignment w:val="auto"/>
        <w:outlineLvl w:val="9"/>
        <w:rPr>
          <w:rFonts w:hint="eastAsia" w:ascii="仿宋_GB2312" w:hAnsi="仿宋" w:cs="宋体"/>
          <w:color w:val="auto"/>
          <w:spacing w:val="0"/>
          <w:kern w:val="0"/>
          <w:lang w:bidi="ar-SA"/>
        </w:rPr>
      </w:pPr>
      <w:r>
        <w:rPr>
          <w:rFonts w:hint="eastAsia" w:ascii="仿宋_GB2312" w:hAnsi="仿宋" w:cs="宋体"/>
          <w:color w:val="auto"/>
          <w:spacing w:val="0"/>
          <w:kern w:val="0"/>
          <w:lang w:bidi="ar-SA"/>
        </w:rPr>
        <w:t>1．有120间以上客房的旅业工程，</w:t>
      </w:r>
      <w:r>
        <w:rPr>
          <w:rFonts w:hint="eastAsia" w:ascii="仿宋_GB2312" w:hAnsi="仿宋" w:cs="宋体"/>
          <w:color w:val="auto"/>
          <w:spacing w:val="0"/>
          <w:kern w:val="0"/>
          <w:lang w:val="en-US" w:eastAsia="zh-CN" w:bidi="ar-SA"/>
        </w:rPr>
        <w:t>1000</w:t>
      </w:r>
      <w:r>
        <w:rPr>
          <w:rFonts w:hint="eastAsia" w:ascii="仿宋_GB2312" w:hAnsi="仿宋" w:cs="宋体"/>
          <w:color w:val="auto"/>
          <w:spacing w:val="0"/>
          <w:kern w:val="0"/>
          <w:lang w:bidi="ar-SA"/>
        </w:rPr>
        <w:t>座位以上的体育馆，</w:t>
      </w:r>
      <w:r>
        <w:rPr>
          <w:rFonts w:hint="eastAsia" w:ascii="仿宋_GB2312" w:hAnsi="仿宋" w:cs="宋体"/>
          <w:color w:val="auto"/>
          <w:spacing w:val="0"/>
          <w:kern w:val="0"/>
          <w:lang w:val="en-US" w:eastAsia="zh-CN" w:bidi="ar-SA"/>
        </w:rPr>
        <w:t>15</w:t>
      </w:r>
      <w:r>
        <w:rPr>
          <w:rFonts w:hint="eastAsia" w:ascii="仿宋_GB2312" w:hAnsi="仿宋" w:cs="宋体"/>
          <w:color w:val="auto"/>
          <w:spacing w:val="0"/>
          <w:kern w:val="0"/>
          <w:lang w:bidi="ar-SA"/>
        </w:rPr>
        <w:t>00座位以上的体育场、</w:t>
      </w:r>
      <w:r>
        <w:rPr>
          <w:rFonts w:hint="eastAsia" w:ascii="仿宋_GB2312" w:hAnsi="仿宋" w:cs="宋体"/>
          <w:color w:val="auto"/>
          <w:spacing w:val="0"/>
          <w:kern w:val="0"/>
          <w:lang w:val="en-US" w:eastAsia="zh-CN" w:bidi="ar-SA"/>
        </w:rPr>
        <w:t>2</w:t>
      </w:r>
      <w:r>
        <w:rPr>
          <w:rFonts w:hint="eastAsia" w:ascii="仿宋_GB2312" w:hAnsi="仿宋" w:cs="宋体"/>
          <w:color w:val="auto"/>
          <w:spacing w:val="0"/>
          <w:kern w:val="0"/>
          <w:lang w:bidi="ar-SA"/>
        </w:rPr>
        <w:t>00座位以上的影剧院或礼堂，</w:t>
      </w:r>
      <w:r>
        <w:rPr>
          <w:rFonts w:hint="eastAsia" w:ascii="仿宋_GB2312" w:hAnsi="仿宋" w:cs="宋体"/>
          <w:color w:val="auto"/>
          <w:spacing w:val="0"/>
          <w:kern w:val="0"/>
          <w:lang w:eastAsia="zh-CN" w:bidi="ar-SA"/>
        </w:rPr>
        <w:t>单体</w:t>
      </w:r>
      <w:r>
        <w:rPr>
          <w:rFonts w:hint="eastAsia" w:ascii="仿宋_GB2312" w:hAnsi="仿宋" w:cs="宋体"/>
          <w:color w:val="auto"/>
          <w:spacing w:val="0"/>
          <w:kern w:val="0"/>
          <w:lang w:bidi="ar-SA"/>
        </w:rPr>
        <w:t>建筑面积在3000平方米以上的商住工程，以及</w:t>
      </w:r>
      <w:r>
        <w:rPr>
          <w:rFonts w:hint="eastAsia" w:ascii="仿宋_GB2312" w:hAnsi="仿宋" w:cs="宋体"/>
          <w:color w:val="auto"/>
          <w:spacing w:val="0"/>
          <w:kern w:val="0"/>
          <w:lang w:eastAsia="zh-CN" w:bidi="ar-SA"/>
        </w:rPr>
        <w:t>单体</w:t>
      </w:r>
      <w:r>
        <w:rPr>
          <w:rFonts w:hint="eastAsia" w:ascii="仿宋_GB2312" w:hAnsi="仿宋" w:cs="宋体"/>
          <w:color w:val="auto"/>
          <w:spacing w:val="0"/>
          <w:kern w:val="0"/>
          <w:lang w:bidi="ar-SA"/>
        </w:rPr>
        <w:t>建筑面积在3000平方米以上其它用途的民用建筑。</w:t>
      </w:r>
    </w:p>
    <w:p w14:paraId="723F5424">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firstLine="652" w:firstLineChars="200"/>
        <w:contextualSpacing/>
        <w:textAlignment w:val="auto"/>
        <w:outlineLvl w:val="9"/>
        <w:rPr>
          <w:rFonts w:hint="default" w:ascii="仿宋_GB2312" w:hAnsi="仿宋" w:eastAsia="仿宋_GB2312" w:cs="宋体"/>
          <w:color w:val="auto"/>
          <w:spacing w:val="0"/>
          <w:kern w:val="0"/>
          <w:lang w:val="en-US" w:eastAsia="zh-CN" w:bidi="ar-SA"/>
        </w:rPr>
      </w:pPr>
      <w:r>
        <w:rPr>
          <w:rFonts w:hint="eastAsia" w:ascii="仿宋_GB2312" w:hAnsi="仿宋" w:cs="宋体"/>
          <w:color w:val="auto"/>
          <w:spacing w:val="0"/>
          <w:kern w:val="0"/>
          <w:lang w:val="en-US" w:eastAsia="zh-CN" w:bidi="ar-SA"/>
        </w:rPr>
        <w:t>2.房屋建筑工程造价</w:t>
      </w:r>
      <w:r>
        <w:rPr>
          <w:rFonts w:hint="eastAsia" w:ascii="仿宋_GB2312" w:hAnsi="仿宋" w:cs="宋体"/>
          <w:color w:val="auto"/>
          <w:spacing w:val="0"/>
          <w:kern w:val="0"/>
          <w:u w:val="none"/>
          <w:lang w:val="en-US" w:eastAsia="zh-CN" w:bidi="ar-SA"/>
        </w:rPr>
        <w:t>在</w:t>
      </w:r>
      <w:r>
        <w:rPr>
          <w:rFonts w:hint="eastAsia" w:ascii="仿宋_GB2312" w:hAnsi="仿宋" w:cs="宋体"/>
          <w:color w:val="auto"/>
          <w:spacing w:val="0"/>
          <w:kern w:val="0"/>
          <w:lang w:val="en-US" w:eastAsia="zh-CN" w:bidi="ar-SA"/>
        </w:rPr>
        <w:t>1000万元以上；</w:t>
      </w:r>
    </w:p>
    <w:p w14:paraId="4FF41508">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firstLine="652" w:firstLineChars="200"/>
        <w:contextualSpacing/>
        <w:textAlignment w:val="auto"/>
        <w:outlineLvl w:val="9"/>
        <w:rPr>
          <w:rFonts w:hint="eastAsia" w:ascii="仿宋_GB2312" w:hAnsi="仿宋" w:cs="宋体"/>
          <w:color w:val="auto"/>
          <w:spacing w:val="0"/>
          <w:kern w:val="0"/>
          <w:lang w:bidi="ar-SA"/>
        </w:rPr>
      </w:pPr>
      <w:r>
        <w:rPr>
          <w:rFonts w:hint="eastAsia" w:ascii="仿宋_GB2312" w:hAnsi="仿宋" w:cs="宋体"/>
          <w:color w:val="auto"/>
          <w:spacing w:val="0"/>
          <w:kern w:val="0"/>
          <w:lang w:val="en-US" w:eastAsia="zh-CN" w:bidi="ar-SA"/>
        </w:rPr>
        <w:t>3</w:t>
      </w:r>
      <w:r>
        <w:rPr>
          <w:rFonts w:hint="eastAsia" w:ascii="仿宋_GB2312" w:hAnsi="仿宋" w:cs="宋体"/>
          <w:color w:val="auto"/>
          <w:spacing w:val="0"/>
          <w:kern w:val="0"/>
          <w:lang w:bidi="ar-SA"/>
        </w:rPr>
        <w:t xml:space="preserve">．建筑面积在6000（县级5000）平方米以上的生产厂房、仓库。 </w:t>
      </w:r>
    </w:p>
    <w:p w14:paraId="4FDF11D9">
      <w:pPr>
        <w:keepNext w:val="0"/>
        <w:keepLines w:val="0"/>
        <w:pageBreakBefore w:val="0"/>
        <w:widowControl w:val="0"/>
        <w:kinsoku/>
        <w:wordWrap/>
        <w:overflowPunct/>
        <w:topLinePunct w:val="0"/>
        <w:autoSpaceDE/>
        <w:autoSpaceDN/>
        <w:bidi w:val="0"/>
        <w:snapToGrid w:val="0"/>
        <w:spacing w:line="640" w:lineRule="exact"/>
        <w:ind w:left="0" w:leftChars="0" w:right="0" w:rightChars="0" w:firstLine="625" w:firstLineChars="192"/>
        <w:contextualSpacing/>
        <w:textAlignment w:val="auto"/>
        <w:outlineLvl w:val="9"/>
        <w:rPr>
          <w:rFonts w:hint="eastAsia" w:ascii="仿宋_GB2312" w:hAnsi="Calibri"/>
          <w:color w:val="auto"/>
          <w:spacing w:val="0"/>
          <w:lang w:bidi="ar-SA"/>
        </w:rPr>
      </w:pPr>
      <w:r>
        <w:rPr>
          <w:rFonts w:hint="eastAsia" w:ascii="仿宋_GB2312" w:hAnsi="Calibri"/>
          <w:b/>
          <w:color w:val="auto"/>
          <w:spacing w:val="0"/>
          <w:lang w:bidi="ar-SA"/>
        </w:rPr>
        <w:t>第七条</w:t>
      </w:r>
      <w:r>
        <w:rPr>
          <w:rFonts w:hint="eastAsia" w:ascii="仿宋_GB2312" w:hAnsi="Calibri"/>
          <w:color w:val="auto"/>
          <w:spacing w:val="0"/>
          <w:lang w:bidi="ar-SA"/>
        </w:rPr>
        <w:t xml:space="preserve">  有下列情况之一的工程不得申报：</w:t>
      </w:r>
    </w:p>
    <w:p w14:paraId="27F0D6DE">
      <w:pPr>
        <w:keepNext w:val="0"/>
        <w:keepLines w:val="0"/>
        <w:pageBreakBefore w:val="0"/>
        <w:widowControl w:val="0"/>
        <w:kinsoku/>
        <w:wordWrap/>
        <w:overflowPunct/>
        <w:topLinePunct w:val="0"/>
        <w:autoSpaceDE/>
        <w:autoSpaceDN/>
        <w:bidi w:val="0"/>
        <w:snapToGrid w:val="0"/>
        <w:spacing w:line="640" w:lineRule="exact"/>
        <w:ind w:left="0" w:leftChars="0" w:right="0" w:rightChars="0" w:firstLine="625" w:firstLineChars="192"/>
        <w:contextualSpacing/>
        <w:textAlignment w:val="auto"/>
        <w:outlineLvl w:val="9"/>
        <w:rPr>
          <w:rFonts w:hint="eastAsia" w:ascii="仿宋_GB2312" w:hAnsi="Calibri"/>
          <w:color w:val="auto"/>
          <w:spacing w:val="0"/>
          <w:lang w:bidi="ar-SA"/>
        </w:rPr>
      </w:pPr>
      <w:r>
        <w:rPr>
          <w:rFonts w:hint="eastAsia" w:ascii="仿宋_GB2312" w:hAnsi="Calibri"/>
          <w:color w:val="auto"/>
          <w:spacing w:val="0"/>
          <w:lang w:bidi="ar-SA"/>
        </w:rPr>
        <w:t>（一）原有建筑物改建工程；</w:t>
      </w:r>
    </w:p>
    <w:p w14:paraId="2C1C7537">
      <w:pPr>
        <w:keepNext w:val="0"/>
        <w:keepLines w:val="0"/>
        <w:pageBreakBefore w:val="0"/>
        <w:widowControl w:val="0"/>
        <w:kinsoku/>
        <w:wordWrap/>
        <w:overflowPunct/>
        <w:topLinePunct w:val="0"/>
        <w:autoSpaceDE/>
        <w:autoSpaceDN/>
        <w:bidi w:val="0"/>
        <w:snapToGrid w:val="0"/>
        <w:spacing w:line="640" w:lineRule="exact"/>
        <w:ind w:left="0" w:leftChars="0" w:right="0" w:rightChars="0" w:firstLine="625" w:firstLineChars="192"/>
        <w:contextualSpacing/>
        <w:textAlignment w:val="auto"/>
        <w:outlineLvl w:val="9"/>
        <w:rPr>
          <w:rFonts w:hint="eastAsia" w:ascii="仿宋_GB2312" w:hAnsi="Calibri"/>
          <w:color w:val="auto"/>
          <w:spacing w:val="0"/>
          <w:lang w:bidi="ar-SA"/>
        </w:rPr>
      </w:pPr>
      <w:r>
        <w:rPr>
          <w:rFonts w:hint="eastAsia" w:ascii="仿宋_GB2312" w:hAnsi="Calibri"/>
          <w:color w:val="auto"/>
          <w:spacing w:val="0"/>
          <w:lang w:bidi="ar-SA"/>
        </w:rPr>
        <w:t>（二）经过加固补强的工程；</w:t>
      </w:r>
    </w:p>
    <w:p w14:paraId="2C1DCE52">
      <w:pPr>
        <w:keepNext w:val="0"/>
        <w:keepLines w:val="0"/>
        <w:pageBreakBefore w:val="0"/>
        <w:widowControl w:val="0"/>
        <w:kinsoku/>
        <w:wordWrap/>
        <w:overflowPunct/>
        <w:topLinePunct w:val="0"/>
        <w:autoSpaceDE/>
        <w:autoSpaceDN/>
        <w:bidi w:val="0"/>
        <w:snapToGrid w:val="0"/>
        <w:spacing w:line="640" w:lineRule="exact"/>
        <w:ind w:left="0" w:leftChars="0" w:right="0" w:rightChars="0" w:firstLine="625" w:firstLineChars="192"/>
        <w:contextualSpacing/>
        <w:textAlignment w:val="auto"/>
        <w:outlineLvl w:val="9"/>
        <w:rPr>
          <w:rFonts w:hint="eastAsia" w:ascii="仿宋_GB2312" w:hAnsi="Calibri"/>
          <w:color w:val="auto"/>
          <w:spacing w:val="0"/>
          <w:lang w:bidi="ar-SA"/>
        </w:rPr>
      </w:pPr>
      <w:r>
        <w:rPr>
          <w:rFonts w:hint="eastAsia" w:ascii="仿宋_GB2312" w:hAnsi="Calibri"/>
          <w:color w:val="auto"/>
          <w:spacing w:val="0"/>
          <w:lang w:bidi="ar-SA"/>
        </w:rPr>
        <w:t>（三）使用国家和地方明令淘汰的建筑材料、设备及构配件的工程；</w:t>
      </w:r>
    </w:p>
    <w:p w14:paraId="176AE7DF">
      <w:pPr>
        <w:keepNext w:val="0"/>
        <w:keepLines w:val="0"/>
        <w:pageBreakBefore w:val="0"/>
        <w:widowControl w:val="0"/>
        <w:kinsoku/>
        <w:wordWrap/>
        <w:overflowPunct/>
        <w:topLinePunct w:val="0"/>
        <w:autoSpaceDE/>
        <w:autoSpaceDN/>
        <w:bidi w:val="0"/>
        <w:snapToGrid w:val="0"/>
        <w:spacing w:line="640" w:lineRule="exact"/>
        <w:ind w:left="0" w:leftChars="0" w:right="0" w:rightChars="0" w:firstLine="625" w:firstLineChars="192"/>
        <w:contextualSpacing/>
        <w:textAlignment w:val="auto"/>
        <w:outlineLvl w:val="9"/>
        <w:rPr>
          <w:rFonts w:hint="eastAsia" w:ascii="仿宋_GB2312" w:hAnsi="Calibri"/>
          <w:color w:val="auto"/>
          <w:spacing w:val="0"/>
          <w:lang w:eastAsia="zh-CN" w:bidi="ar-SA"/>
        </w:rPr>
      </w:pPr>
      <w:r>
        <w:rPr>
          <w:rFonts w:hint="eastAsia" w:ascii="仿宋_GB2312" w:hAnsi="Calibri"/>
          <w:color w:val="auto"/>
          <w:spacing w:val="0"/>
          <w:lang w:bidi="ar-SA"/>
        </w:rPr>
        <w:t>（四）因施工质量问题有投诉、举报属实的工程</w:t>
      </w:r>
      <w:r>
        <w:rPr>
          <w:rFonts w:hint="eastAsia" w:ascii="仿宋_GB2312" w:hAnsi="Calibri"/>
          <w:color w:val="auto"/>
          <w:spacing w:val="0"/>
          <w:lang w:eastAsia="zh-CN" w:bidi="ar-SA"/>
        </w:rPr>
        <w:t>；</w:t>
      </w:r>
    </w:p>
    <w:p w14:paraId="76ABE71B">
      <w:pPr>
        <w:keepNext w:val="0"/>
        <w:keepLines w:val="0"/>
        <w:pageBreakBefore w:val="0"/>
        <w:widowControl w:val="0"/>
        <w:kinsoku/>
        <w:wordWrap/>
        <w:overflowPunct/>
        <w:topLinePunct w:val="0"/>
        <w:autoSpaceDE/>
        <w:autoSpaceDN/>
        <w:bidi w:val="0"/>
        <w:snapToGrid w:val="0"/>
        <w:spacing w:line="640" w:lineRule="exact"/>
        <w:ind w:left="0" w:leftChars="0" w:right="0" w:rightChars="0" w:firstLine="625" w:firstLineChars="192"/>
        <w:contextualSpacing/>
        <w:textAlignment w:val="auto"/>
        <w:outlineLvl w:val="9"/>
        <w:rPr>
          <w:rFonts w:hint="eastAsia" w:ascii="仿宋_GB2312" w:hAnsi="仿宋" w:cs="宋体"/>
          <w:color w:val="auto"/>
          <w:spacing w:val="0"/>
          <w:kern w:val="0"/>
          <w:lang w:val="en-US" w:eastAsia="zh-CN" w:bidi="ar-SA"/>
        </w:rPr>
      </w:pPr>
      <w:r>
        <w:rPr>
          <w:rFonts w:hint="eastAsia" w:ascii="仿宋_GB2312" w:hAnsi="仿宋" w:cs="宋体"/>
          <w:color w:val="auto"/>
          <w:spacing w:val="0"/>
          <w:kern w:val="0"/>
          <w:lang w:val="en-US" w:eastAsia="zh-CN" w:bidi="ar-SA"/>
        </w:rPr>
        <w:t>（五）项目开工前未向市建筑协会申报结构质量水平评价计划的工程。</w:t>
      </w:r>
    </w:p>
    <w:p w14:paraId="32814116">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contextualSpacing/>
        <w:jc w:val="center"/>
        <w:textAlignment w:val="auto"/>
        <w:outlineLvl w:val="9"/>
        <w:rPr>
          <w:rFonts w:hint="eastAsia" w:ascii="仿宋_GB2312" w:hAnsi="黑体" w:cs="宋体"/>
          <w:b/>
          <w:bCs/>
          <w:color w:val="auto"/>
          <w:spacing w:val="0"/>
          <w:kern w:val="0"/>
          <w:lang w:bidi="ar-SA"/>
        </w:rPr>
      </w:pPr>
      <w:r>
        <w:rPr>
          <w:rFonts w:hint="eastAsia" w:ascii="仿宋_GB2312" w:hAnsi="黑体" w:cs="宋体"/>
          <w:b/>
          <w:bCs/>
          <w:color w:val="auto"/>
          <w:spacing w:val="0"/>
          <w:kern w:val="0"/>
          <w:lang w:bidi="ar-SA"/>
        </w:rPr>
        <w:t>第三章  申报程序及申报资料</w:t>
      </w:r>
    </w:p>
    <w:p w14:paraId="2ED243EC">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firstLine="652" w:firstLineChars="200"/>
        <w:contextualSpacing/>
        <w:textAlignment w:val="auto"/>
        <w:outlineLvl w:val="9"/>
        <w:rPr>
          <w:rFonts w:hint="eastAsia" w:ascii="仿宋_GB2312" w:hAnsi="仿宋" w:cs="宋体"/>
          <w:color w:val="auto"/>
          <w:spacing w:val="0"/>
          <w:kern w:val="0"/>
          <w:lang w:bidi="ar-SA"/>
        </w:rPr>
      </w:pPr>
      <w:r>
        <w:rPr>
          <w:rFonts w:hint="eastAsia" w:ascii="仿宋_GB2312" w:hAnsi="仿宋" w:cs="宋体"/>
          <w:b/>
          <w:color w:val="auto"/>
          <w:spacing w:val="0"/>
          <w:kern w:val="0"/>
          <w:lang w:bidi="ar-SA"/>
        </w:rPr>
        <w:t>第八条</w:t>
      </w:r>
      <w:r>
        <w:rPr>
          <w:rFonts w:hint="eastAsia" w:ascii="仿宋_GB2312" w:hAnsi="仿宋" w:cs="宋体"/>
          <w:color w:val="auto"/>
          <w:spacing w:val="0"/>
          <w:kern w:val="0"/>
          <w:lang w:bidi="ar-SA"/>
        </w:rPr>
        <w:t xml:space="preserve">  申报程序及申报资料</w:t>
      </w:r>
    </w:p>
    <w:p w14:paraId="5D46C4BD">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firstLine="652" w:firstLineChars="200"/>
        <w:contextualSpacing/>
        <w:textAlignment w:val="auto"/>
        <w:outlineLvl w:val="9"/>
        <w:rPr>
          <w:rFonts w:hint="eastAsia" w:ascii="仿宋_GB2312" w:hAnsi="仿宋" w:cs="宋体"/>
          <w:color w:val="auto"/>
          <w:spacing w:val="0"/>
          <w:kern w:val="0"/>
          <w:lang w:bidi="ar-SA"/>
        </w:rPr>
      </w:pPr>
      <w:r>
        <w:rPr>
          <w:rFonts w:hint="eastAsia" w:ascii="仿宋_GB2312" w:hAnsi="仿宋" w:cs="宋体"/>
          <w:color w:val="auto"/>
          <w:spacing w:val="0"/>
          <w:kern w:val="0"/>
          <w:lang w:bidi="ar-SA"/>
        </w:rPr>
        <w:t>申报单位在满足工程开工条件前经工程所在地县（市）建筑业协会推荐，向市建筑协会申报</w:t>
      </w:r>
      <w:r>
        <w:rPr>
          <w:rFonts w:hint="eastAsia" w:ascii="仿宋_GB2312" w:hAnsi="仿宋" w:cs="宋体"/>
          <w:color w:val="auto"/>
          <w:spacing w:val="0"/>
          <w:kern w:val="0"/>
          <w:lang w:val="en-US" w:eastAsia="zh-CN" w:bidi="ar-SA"/>
        </w:rPr>
        <w:t>结构质量水平评价</w:t>
      </w:r>
      <w:r>
        <w:rPr>
          <w:rFonts w:hint="eastAsia" w:ascii="仿宋_GB2312" w:hAnsi="仿宋" w:cs="宋体"/>
          <w:color w:val="auto"/>
          <w:spacing w:val="0"/>
          <w:kern w:val="0"/>
          <w:lang w:bidi="ar-SA"/>
        </w:rPr>
        <w:t>计划，并递交以下申报资料：</w:t>
      </w:r>
    </w:p>
    <w:p w14:paraId="38E9E569">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firstLine="318" w:firstLineChars="98"/>
        <w:contextualSpacing/>
        <w:textAlignment w:val="auto"/>
        <w:outlineLvl w:val="9"/>
        <w:rPr>
          <w:rFonts w:hint="eastAsia" w:ascii="仿宋_GB2312" w:hAnsi="仿宋" w:cs="宋体"/>
          <w:color w:val="auto"/>
          <w:spacing w:val="0"/>
          <w:kern w:val="0"/>
          <w:lang w:bidi="ar-SA"/>
        </w:rPr>
      </w:pPr>
      <w:r>
        <w:rPr>
          <w:rFonts w:hint="eastAsia" w:ascii="仿宋_GB2312" w:hAnsi="仿宋" w:cs="宋体"/>
          <w:color w:val="auto"/>
          <w:spacing w:val="0"/>
          <w:kern w:val="0"/>
          <w:lang w:bidi="ar-SA"/>
        </w:rPr>
        <w:t>（一）《韶关市建设工程</w:t>
      </w:r>
      <w:r>
        <w:rPr>
          <w:rFonts w:hint="eastAsia" w:ascii="仿宋_GB2312" w:hAnsi="仿宋" w:cs="宋体"/>
          <w:color w:val="auto"/>
          <w:spacing w:val="0"/>
          <w:kern w:val="0"/>
          <w:lang w:val="en-US" w:eastAsia="zh-CN" w:bidi="ar-SA"/>
        </w:rPr>
        <w:t>结构质量水平评价</w:t>
      </w:r>
      <w:r>
        <w:rPr>
          <w:rFonts w:hint="eastAsia" w:ascii="仿宋_GB2312" w:hAnsi="仿宋" w:cs="宋体"/>
          <w:color w:val="auto"/>
          <w:spacing w:val="0"/>
          <w:kern w:val="0"/>
          <w:lang w:bidi="ar-SA"/>
        </w:rPr>
        <w:t>申报表》；</w:t>
      </w:r>
    </w:p>
    <w:p w14:paraId="60E3225F">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firstLine="318" w:firstLineChars="98"/>
        <w:contextualSpacing/>
        <w:textAlignment w:val="auto"/>
        <w:outlineLvl w:val="9"/>
        <w:rPr>
          <w:rFonts w:hint="eastAsia" w:ascii="仿宋_GB2312" w:hAnsi="仿宋" w:cs="宋体"/>
          <w:color w:val="auto"/>
          <w:spacing w:val="0"/>
          <w:kern w:val="0"/>
          <w:lang w:bidi="ar-SA"/>
        </w:rPr>
      </w:pPr>
      <w:r>
        <w:rPr>
          <w:rFonts w:hint="eastAsia" w:ascii="仿宋_GB2312" w:hAnsi="仿宋" w:cs="宋体"/>
          <w:color w:val="auto"/>
          <w:spacing w:val="0"/>
          <w:kern w:val="0"/>
          <w:lang w:bidi="ar-SA"/>
        </w:rPr>
        <w:t>（二）建设工程规划许可证、施工图设计文件审查合格书及批准文件、施工许可证等基本建设程序文件；</w:t>
      </w:r>
    </w:p>
    <w:p w14:paraId="4709C3D6">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firstLine="318" w:firstLineChars="98"/>
        <w:contextualSpacing/>
        <w:textAlignment w:val="auto"/>
        <w:outlineLvl w:val="9"/>
        <w:rPr>
          <w:rFonts w:hint="eastAsia" w:ascii="仿宋_GB2312" w:hAnsi="仿宋" w:cs="宋体"/>
          <w:color w:val="auto"/>
          <w:spacing w:val="0"/>
          <w:kern w:val="0"/>
          <w:lang w:bidi="ar-SA"/>
        </w:rPr>
      </w:pPr>
      <w:r>
        <w:rPr>
          <w:rFonts w:hint="eastAsia" w:ascii="仿宋_GB2312" w:hAnsi="仿宋" w:cs="宋体"/>
          <w:color w:val="auto"/>
          <w:spacing w:val="0"/>
          <w:kern w:val="0"/>
          <w:lang w:bidi="ar-SA"/>
        </w:rPr>
        <w:t>（三）工程中标通知书、施工合同、监理合同、项目经理和总监理工程师</w:t>
      </w:r>
      <w:r>
        <w:rPr>
          <w:rFonts w:hint="eastAsia" w:ascii="仿宋_GB2312" w:hAnsi="仿宋" w:cs="宋体"/>
          <w:color w:val="auto"/>
          <w:spacing w:val="0"/>
          <w:kern w:val="0"/>
          <w:lang w:eastAsia="zh-CN" w:bidi="ar-SA"/>
        </w:rPr>
        <w:t>的注册证书</w:t>
      </w:r>
      <w:r>
        <w:rPr>
          <w:rFonts w:hint="eastAsia" w:ascii="仿宋_GB2312" w:hAnsi="仿宋" w:cs="宋体"/>
          <w:color w:val="auto"/>
          <w:spacing w:val="0"/>
          <w:kern w:val="0"/>
          <w:lang w:bidi="ar-SA"/>
        </w:rPr>
        <w:t>；</w:t>
      </w:r>
    </w:p>
    <w:p w14:paraId="74A9E303">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firstLine="318" w:firstLineChars="98"/>
        <w:contextualSpacing/>
        <w:textAlignment w:val="auto"/>
        <w:outlineLvl w:val="9"/>
        <w:rPr>
          <w:rFonts w:hint="eastAsia" w:ascii="仿宋_GB2312" w:hAnsi="仿宋" w:cs="宋体"/>
          <w:color w:val="auto"/>
          <w:spacing w:val="0"/>
          <w:kern w:val="0"/>
          <w:lang w:bidi="ar-SA"/>
        </w:rPr>
      </w:pPr>
      <w:r>
        <w:rPr>
          <w:rFonts w:hint="eastAsia" w:ascii="仿宋_GB2312" w:hAnsi="仿宋" w:cs="宋体"/>
          <w:color w:val="auto"/>
          <w:spacing w:val="0"/>
          <w:kern w:val="0"/>
          <w:lang w:bidi="ar-SA"/>
        </w:rPr>
        <w:t>（四）工程概况、工程创优计划和工程施工进度计划；</w:t>
      </w:r>
    </w:p>
    <w:p w14:paraId="559B3645">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firstLine="644" w:firstLineChars="198"/>
        <w:contextualSpacing/>
        <w:textAlignment w:val="auto"/>
        <w:outlineLvl w:val="9"/>
        <w:rPr>
          <w:rFonts w:hint="eastAsia" w:ascii="仿宋_GB2312" w:hAnsi="仿宋" w:cs="宋体"/>
          <w:color w:val="auto"/>
          <w:spacing w:val="0"/>
          <w:kern w:val="0"/>
          <w:lang w:bidi="ar-SA"/>
        </w:rPr>
      </w:pPr>
      <w:r>
        <w:rPr>
          <w:rFonts w:hint="eastAsia" w:ascii="仿宋_GB2312" w:hAnsi="仿宋" w:cs="宋体"/>
          <w:color w:val="auto"/>
          <w:spacing w:val="0"/>
          <w:kern w:val="0"/>
          <w:lang w:bidi="ar-SA"/>
        </w:rPr>
        <w:t>以上资料由各县（市）建筑业协会负责审核，并核对相关资料原件，复印件加盖核对章及签署核对人姓名</w:t>
      </w:r>
      <w:r>
        <w:rPr>
          <w:rFonts w:hint="eastAsia" w:ascii="仿宋_GB2312"/>
          <w:color w:val="auto"/>
        </w:rPr>
        <w:t>后</w:t>
      </w:r>
      <w:r>
        <w:rPr>
          <w:rFonts w:hint="eastAsia" w:ascii="仿宋_GB2312"/>
          <w:color w:val="auto"/>
          <w:lang w:val="en-US" w:eastAsia="zh-CN"/>
        </w:rPr>
        <w:t>由申报单位登录</w:t>
      </w:r>
      <w:r>
        <w:rPr>
          <w:rFonts w:hint="eastAsia" w:ascii="仿宋_GB2312"/>
          <w:color w:val="auto"/>
        </w:rPr>
        <w:t>市建筑协会</w:t>
      </w:r>
      <w:r>
        <w:rPr>
          <w:rFonts w:hint="eastAsia" w:ascii="仿宋_GB2312"/>
          <w:color w:val="auto"/>
          <w:lang w:val="en-US" w:eastAsia="zh-CN"/>
        </w:rPr>
        <w:t>网站进行网上申报</w:t>
      </w:r>
      <w:r>
        <w:rPr>
          <w:rFonts w:hint="eastAsia" w:ascii="仿宋_GB2312" w:hAnsi="仿宋" w:cs="宋体"/>
          <w:color w:val="auto"/>
          <w:spacing w:val="0"/>
          <w:kern w:val="0"/>
          <w:lang w:bidi="ar-SA"/>
        </w:rPr>
        <w:t>。</w:t>
      </w:r>
    </w:p>
    <w:p w14:paraId="6056BC21">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contextualSpacing/>
        <w:jc w:val="center"/>
        <w:textAlignment w:val="auto"/>
        <w:outlineLvl w:val="9"/>
        <w:rPr>
          <w:rFonts w:hint="eastAsia" w:ascii="仿宋_GB2312" w:hAnsi="黑体" w:eastAsia="仿宋_GB2312" w:cs="宋体"/>
          <w:b/>
          <w:bCs/>
          <w:color w:val="auto"/>
          <w:spacing w:val="0"/>
          <w:kern w:val="0"/>
          <w:lang w:eastAsia="zh-CN" w:bidi="ar-SA"/>
        </w:rPr>
      </w:pPr>
      <w:r>
        <w:rPr>
          <w:rFonts w:hint="eastAsia" w:ascii="仿宋_GB2312" w:hAnsi="黑体" w:cs="宋体"/>
          <w:b/>
          <w:bCs/>
          <w:color w:val="auto"/>
          <w:spacing w:val="0"/>
          <w:kern w:val="0"/>
          <w:lang w:bidi="ar-SA"/>
        </w:rPr>
        <w:t>第四章  现场检查及评</w:t>
      </w:r>
      <w:r>
        <w:rPr>
          <w:rFonts w:hint="eastAsia" w:ascii="仿宋_GB2312" w:hAnsi="黑体" w:cs="宋体"/>
          <w:b/>
          <w:bCs/>
          <w:color w:val="auto"/>
          <w:spacing w:val="0"/>
          <w:kern w:val="0"/>
          <w:lang w:val="en-US" w:eastAsia="zh-CN" w:bidi="ar-SA"/>
        </w:rPr>
        <w:t>价</w:t>
      </w:r>
    </w:p>
    <w:p w14:paraId="4657EB8B">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firstLine="652" w:firstLineChars="200"/>
        <w:contextualSpacing/>
        <w:textAlignment w:val="auto"/>
        <w:outlineLvl w:val="9"/>
        <w:rPr>
          <w:rFonts w:hint="eastAsia" w:ascii="仿宋_GB2312" w:hAnsi="仿宋" w:cs="宋体"/>
          <w:color w:val="auto"/>
          <w:spacing w:val="0"/>
          <w:kern w:val="0"/>
          <w:lang w:bidi="ar-SA"/>
        </w:rPr>
      </w:pPr>
      <w:r>
        <w:rPr>
          <w:rFonts w:hint="eastAsia" w:ascii="仿宋_GB2312" w:hAnsi="仿宋" w:cs="宋体"/>
          <w:b/>
          <w:color w:val="auto"/>
          <w:spacing w:val="0"/>
          <w:kern w:val="0"/>
          <w:lang w:bidi="ar-SA"/>
        </w:rPr>
        <w:t>第九条</w:t>
      </w:r>
      <w:r>
        <w:rPr>
          <w:rFonts w:hint="eastAsia" w:ascii="仿宋_GB2312" w:hAnsi="仿宋" w:cs="宋体"/>
          <w:color w:val="auto"/>
          <w:spacing w:val="0"/>
          <w:kern w:val="0"/>
          <w:lang w:bidi="ar-SA"/>
        </w:rPr>
        <w:t xml:space="preserve">  现场检查工作由市建筑协会负责组织，按申报项目施工进度情况动态组织检查。</w:t>
      </w:r>
    </w:p>
    <w:p w14:paraId="47C488C8">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firstLine="652" w:firstLineChars="200"/>
        <w:contextualSpacing/>
        <w:textAlignment w:val="auto"/>
        <w:outlineLvl w:val="9"/>
        <w:rPr>
          <w:rFonts w:hint="eastAsia" w:ascii="仿宋_GB2312" w:hAnsi="仿宋" w:cs="宋体"/>
          <w:color w:val="auto"/>
          <w:spacing w:val="0"/>
          <w:kern w:val="0"/>
          <w:lang w:bidi="ar-SA"/>
        </w:rPr>
      </w:pPr>
      <w:r>
        <w:rPr>
          <w:rFonts w:hint="eastAsia" w:ascii="仿宋_GB2312" w:hAnsi="仿宋" w:cs="宋体"/>
          <w:color w:val="auto"/>
          <w:spacing w:val="0"/>
          <w:kern w:val="0"/>
          <w:lang w:bidi="ar-SA"/>
        </w:rPr>
        <w:t>（一）原则上各项目要进行两次的现场检查：第一次：多层建筑结构工程检查地基基础、地下室到地上三层以内的结构（高层及超高层建筑结构工程可到地上五层以内）。第二次：多层建筑结构工程检查地上三层以上主体结构工程（高层建筑结构为地上五层以上结构）。对于超高层建筑每增加20层（不足20层按20层计）增加一次评审检查。</w:t>
      </w:r>
    </w:p>
    <w:p w14:paraId="6EF35470">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firstLine="652" w:firstLineChars="200"/>
        <w:contextualSpacing/>
        <w:textAlignment w:val="auto"/>
        <w:outlineLvl w:val="9"/>
        <w:rPr>
          <w:rFonts w:hint="eastAsia" w:ascii="仿宋_GB2312" w:hAnsi="仿宋" w:cs="宋体"/>
          <w:color w:val="auto"/>
          <w:spacing w:val="0"/>
          <w:kern w:val="0"/>
          <w:lang w:bidi="ar-SA"/>
        </w:rPr>
      </w:pPr>
      <w:r>
        <w:rPr>
          <w:rFonts w:hint="eastAsia" w:ascii="仿宋_GB2312" w:hAnsi="仿宋" w:cs="宋体"/>
          <w:color w:val="auto"/>
          <w:spacing w:val="0"/>
          <w:kern w:val="0"/>
          <w:lang w:bidi="ar-SA"/>
        </w:rPr>
        <w:t>（二）专业工程根据其结构特点分次检查。</w:t>
      </w:r>
    </w:p>
    <w:p w14:paraId="086CEF7B">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firstLine="652" w:firstLineChars="200"/>
        <w:contextualSpacing/>
        <w:textAlignment w:val="auto"/>
        <w:outlineLvl w:val="9"/>
        <w:rPr>
          <w:rFonts w:hint="eastAsia" w:ascii="仿宋_GB2312" w:hAnsi="仿宋" w:cs="宋体"/>
          <w:color w:val="auto"/>
          <w:spacing w:val="0"/>
          <w:kern w:val="0"/>
          <w:lang w:bidi="ar-SA"/>
        </w:rPr>
      </w:pPr>
      <w:r>
        <w:rPr>
          <w:rFonts w:hint="eastAsia" w:ascii="仿宋_GB2312" w:hAnsi="仿宋" w:cs="宋体"/>
          <w:color w:val="auto"/>
          <w:spacing w:val="0"/>
          <w:kern w:val="0"/>
          <w:lang w:bidi="ar-SA"/>
        </w:rPr>
        <w:t>（三）评审专家在韶关市建筑协会工程质量技术专家库中抽取。</w:t>
      </w:r>
    </w:p>
    <w:p w14:paraId="23DEDDB8">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firstLine="652" w:firstLineChars="200"/>
        <w:contextualSpacing/>
        <w:textAlignment w:val="auto"/>
        <w:outlineLvl w:val="9"/>
        <w:rPr>
          <w:rFonts w:hint="eastAsia" w:ascii="仿宋_GB2312" w:hAnsi="仿宋" w:cs="宋体"/>
          <w:color w:val="auto"/>
          <w:spacing w:val="0"/>
          <w:kern w:val="0"/>
          <w:lang w:bidi="ar-SA"/>
        </w:rPr>
      </w:pPr>
      <w:r>
        <w:rPr>
          <w:rFonts w:hint="eastAsia" w:ascii="仿宋_GB2312" w:hAnsi="仿宋" w:cs="宋体"/>
          <w:color w:val="auto"/>
          <w:spacing w:val="0"/>
          <w:kern w:val="0"/>
          <w:lang w:bidi="ar-SA"/>
        </w:rPr>
        <w:t>（四）现场检查程序</w:t>
      </w:r>
    </w:p>
    <w:p w14:paraId="3175ED7A">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firstLine="652" w:firstLineChars="200"/>
        <w:contextualSpacing/>
        <w:textAlignment w:val="auto"/>
        <w:outlineLvl w:val="9"/>
        <w:rPr>
          <w:rFonts w:hint="eastAsia" w:ascii="仿宋_GB2312" w:hAnsi="仿宋" w:cs="宋体"/>
          <w:color w:val="auto"/>
          <w:spacing w:val="0"/>
          <w:kern w:val="0"/>
          <w:lang w:bidi="ar-SA"/>
        </w:rPr>
      </w:pPr>
      <w:r>
        <w:rPr>
          <w:rFonts w:hint="eastAsia" w:ascii="仿宋_GB2312" w:hAnsi="仿宋" w:cs="宋体"/>
          <w:color w:val="auto"/>
          <w:spacing w:val="0"/>
          <w:kern w:val="0"/>
          <w:lang w:bidi="ar-SA"/>
        </w:rPr>
        <w:t>1</w:t>
      </w:r>
      <w:r>
        <w:rPr>
          <w:rFonts w:hint="eastAsia" w:ascii="仿宋_GB2312"/>
          <w:color w:val="auto"/>
          <w:spacing w:val="0"/>
          <w:lang w:bidi="ar-SA"/>
        </w:rPr>
        <w:t>．</w:t>
      </w:r>
      <w:r>
        <w:rPr>
          <w:rFonts w:hint="eastAsia" w:ascii="仿宋_GB2312" w:hAnsi="仿宋" w:cs="宋体"/>
          <w:color w:val="auto"/>
          <w:spacing w:val="0"/>
          <w:kern w:val="0"/>
          <w:lang w:bidi="ar-SA"/>
        </w:rPr>
        <w:t>听取申报单位关于工程项目质量情况的汇报；</w:t>
      </w:r>
    </w:p>
    <w:p w14:paraId="0E2EF648">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firstLine="652" w:firstLineChars="200"/>
        <w:contextualSpacing/>
        <w:textAlignment w:val="auto"/>
        <w:outlineLvl w:val="9"/>
        <w:rPr>
          <w:rFonts w:hint="eastAsia" w:ascii="仿宋_GB2312" w:hAnsi="仿宋" w:cs="宋体"/>
          <w:color w:val="auto"/>
          <w:spacing w:val="0"/>
          <w:kern w:val="0"/>
          <w:lang w:bidi="ar-SA"/>
        </w:rPr>
      </w:pPr>
      <w:r>
        <w:rPr>
          <w:rFonts w:hint="eastAsia" w:ascii="仿宋_GB2312" w:hAnsi="仿宋" w:cs="宋体"/>
          <w:color w:val="auto"/>
          <w:spacing w:val="0"/>
          <w:kern w:val="0"/>
          <w:lang w:bidi="ar-SA"/>
        </w:rPr>
        <w:t>2．征求建设单位、监理单位的意见；</w:t>
      </w:r>
    </w:p>
    <w:p w14:paraId="08EA1858">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firstLine="652" w:firstLineChars="200"/>
        <w:contextualSpacing/>
        <w:textAlignment w:val="auto"/>
        <w:outlineLvl w:val="9"/>
        <w:rPr>
          <w:rFonts w:hint="eastAsia" w:ascii="仿宋_GB2312" w:hAnsi="仿宋" w:cs="宋体"/>
          <w:color w:val="auto"/>
          <w:spacing w:val="0"/>
          <w:kern w:val="0"/>
          <w:lang w:bidi="ar-SA"/>
        </w:rPr>
      </w:pPr>
      <w:r>
        <w:rPr>
          <w:rFonts w:hint="eastAsia" w:ascii="仿宋_GB2312" w:hAnsi="仿宋" w:cs="宋体"/>
          <w:color w:val="auto"/>
          <w:spacing w:val="0"/>
          <w:kern w:val="0"/>
          <w:lang w:bidi="ar-SA"/>
        </w:rPr>
        <w:t>3．核查工程基本建设程序文件原件；</w:t>
      </w:r>
    </w:p>
    <w:p w14:paraId="04C8DD23">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firstLine="652" w:firstLineChars="200"/>
        <w:contextualSpacing/>
        <w:textAlignment w:val="auto"/>
        <w:outlineLvl w:val="9"/>
        <w:rPr>
          <w:rFonts w:hint="eastAsia" w:ascii="仿宋_GB2312" w:hAnsi="仿宋" w:cs="宋体"/>
          <w:color w:val="auto"/>
          <w:spacing w:val="0"/>
          <w:kern w:val="0"/>
          <w:lang w:bidi="ar-SA"/>
        </w:rPr>
      </w:pPr>
      <w:r>
        <w:rPr>
          <w:rFonts w:hint="eastAsia" w:ascii="仿宋_GB2312" w:hAnsi="仿宋" w:cs="宋体"/>
          <w:color w:val="auto"/>
          <w:spacing w:val="0"/>
          <w:kern w:val="0"/>
          <w:lang w:bidi="ar-SA"/>
        </w:rPr>
        <w:t>4．抽查工程实体质量和工程技术资料；</w:t>
      </w:r>
    </w:p>
    <w:p w14:paraId="62B0274E">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firstLine="652" w:firstLineChars="200"/>
        <w:contextualSpacing/>
        <w:textAlignment w:val="auto"/>
        <w:outlineLvl w:val="9"/>
        <w:rPr>
          <w:rFonts w:hint="eastAsia" w:ascii="仿宋_GB2312" w:hAnsi="仿宋" w:cs="宋体"/>
          <w:color w:val="auto"/>
          <w:spacing w:val="0"/>
          <w:kern w:val="0"/>
          <w:lang w:bidi="ar-SA"/>
        </w:rPr>
      </w:pPr>
      <w:r>
        <w:rPr>
          <w:rFonts w:hint="eastAsia" w:ascii="仿宋_GB2312" w:hAnsi="仿宋" w:cs="宋体"/>
          <w:color w:val="auto"/>
          <w:spacing w:val="0"/>
          <w:kern w:val="0"/>
          <w:lang w:bidi="ar-SA"/>
        </w:rPr>
        <w:t>5．反馈检查情况；</w:t>
      </w:r>
    </w:p>
    <w:p w14:paraId="70A5E5F2">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firstLine="652" w:firstLineChars="200"/>
        <w:contextualSpacing/>
        <w:textAlignment w:val="auto"/>
        <w:outlineLvl w:val="9"/>
        <w:rPr>
          <w:rFonts w:hint="eastAsia" w:ascii="仿宋_GB2312" w:hAnsi="仿宋" w:cs="宋体"/>
          <w:color w:val="auto"/>
          <w:spacing w:val="0"/>
          <w:kern w:val="0"/>
          <w:lang w:bidi="ar-SA"/>
        </w:rPr>
      </w:pPr>
      <w:r>
        <w:rPr>
          <w:rFonts w:hint="eastAsia" w:ascii="仿宋_GB2312" w:hAnsi="仿宋" w:cs="宋体"/>
          <w:color w:val="auto"/>
          <w:spacing w:val="0"/>
          <w:kern w:val="0"/>
          <w:lang w:bidi="ar-SA"/>
        </w:rPr>
        <w:t>6．提出评审检查意见。</w:t>
      </w:r>
    </w:p>
    <w:p w14:paraId="386242A1">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firstLine="652" w:firstLineChars="200"/>
        <w:contextualSpacing/>
        <w:textAlignment w:val="auto"/>
        <w:outlineLvl w:val="9"/>
        <w:rPr>
          <w:rFonts w:hint="eastAsia" w:ascii="仿宋_GB2312" w:hAnsi="仿宋" w:cs="宋体"/>
          <w:color w:val="auto"/>
          <w:spacing w:val="0"/>
          <w:kern w:val="0"/>
          <w:lang w:bidi="ar-SA"/>
        </w:rPr>
      </w:pPr>
      <w:r>
        <w:rPr>
          <w:rFonts w:hint="eastAsia" w:ascii="仿宋_GB2312" w:hAnsi="仿宋" w:cs="宋体"/>
          <w:b/>
          <w:color w:val="auto"/>
          <w:spacing w:val="0"/>
          <w:kern w:val="0"/>
          <w:lang w:bidi="ar-SA"/>
        </w:rPr>
        <w:t>第十条</w:t>
      </w:r>
      <w:r>
        <w:rPr>
          <w:rFonts w:hint="eastAsia" w:ascii="仿宋_GB2312" w:hAnsi="仿宋" w:cs="宋体"/>
          <w:color w:val="auto"/>
          <w:spacing w:val="0"/>
          <w:kern w:val="0"/>
          <w:lang w:bidi="ar-SA"/>
        </w:rPr>
        <w:t xml:space="preserve"> 市</w:t>
      </w:r>
      <w:r>
        <w:rPr>
          <w:rFonts w:hint="eastAsia" w:ascii="仿宋_GB2312" w:hAnsi="仿宋" w:cs="宋体"/>
          <w:color w:val="auto"/>
          <w:spacing w:val="0"/>
          <w:kern w:val="0"/>
          <w:lang w:val="en-US" w:eastAsia="zh-CN" w:bidi="ar-SA"/>
        </w:rPr>
        <w:t>结构质量水平评价</w:t>
      </w:r>
      <w:r>
        <w:rPr>
          <w:rFonts w:hint="eastAsia" w:ascii="仿宋_GB2312" w:hAnsi="仿宋" w:cs="宋体"/>
          <w:color w:val="auto"/>
          <w:spacing w:val="0"/>
          <w:kern w:val="0"/>
          <w:lang w:bidi="ar-SA"/>
        </w:rPr>
        <w:t>的评</w:t>
      </w:r>
      <w:r>
        <w:rPr>
          <w:rFonts w:hint="eastAsia" w:ascii="仿宋_GB2312" w:hAnsi="仿宋" w:cs="宋体"/>
          <w:color w:val="auto"/>
          <w:spacing w:val="0"/>
          <w:kern w:val="0"/>
          <w:lang w:val="en-US" w:eastAsia="zh-CN" w:bidi="ar-SA"/>
        </w:rPr>
        <w:t>价</w:t>
      </w:r>
      <w:r>
        <w:rPr>
          <w:rFonts w:hint="eastAsia" w:ascii="仿宋_GB2312" w:hAnsi="仿宋" w:cs="宋体"/>
          <w:color w:val="auto"/>
          <w:spacing w:val="0"/>
          <w:kern w:val="0"/>
          <w:lang w:bidi="ar-SA"/>
        </w:rPr>
        <w:t>工作由市建筑协会组织开展。专家组3-4人，由具有高级技术职称、熟悉工程质量技术与管理的工程质量专家组成。评</w:t>
      </w:r>
      <w:r>
        <w:rPr>
          <w:rFonts w:hint="eastAsia" w:ascii="仿宋_GB2312" w:hAnsi="仿宋" w:cs="宋体"/>
          <w:color w:val="auto"/>
          <w:spacing w:val="0"/>
          <w:kern w:val="0"/>
          <w:lang w:val="en-US" w:eastAsia="zh-CN" w:bidi="ar-SA"/>
        </w:rPr>
        <w:t>价</w:t>
      </w:r>
      <w:r>
        <w:rPr>
          <w:rFonts w:hint="eastAsia" w:ascii="仿宋_GB2312" w:hAnsi="仿宋" w:cs="宋体"/>
          <w:color w:val="auto"/>
          <w:spacing w:val="0"/>
          <w:kern w:val="0"/>
          <w:lang w:bidi="ar-SA"/>
        </w:rPr>
        <w:t>工作坚持“公开、公平、公正”原则。</w:t>
      </w:r>
    </w:p>
    <w:p w14:paraId="46BD114B">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firstLine="652" w:firstLineChars="200"/>
        <w:contextualSpacing/>
        <w:textAlignment w:val="auto"/>
        <w:outlineLvl w:val="9"/>
        <w:rPr>
          <w:rFonts w:hint="eastAsia" w:ascii="仿宋_GB2312" w:hAnsi="仿宋" w:cs="宋体"/>
          <w:color w:val="auto"/>
          <w:spacing w:val="0"/>
          <w:kern w:val="0"/>
          <w:lang w:bidi="ar-SA"/>
        </w:rPr>
      </w:pPr>
      <w:r>
        <w:rPr>
          <w:rFonts w:hint="eastAsia" w:ascii="仿宋_GB2312" w:hAnsi="仿宋" w:cs="宋体"/>
          <w:b/>
          <w:color w:val="auto"/>
          <w:spacing w:val="0"/>
          <w:kern w:val="0"/>
          <w:lang w:bidi="ar-SA"/>
        </w:rPr>
        <w:t>第十一条</w:t>
      </w:r>
      <w:r>
        <w:rPr>
          <w:rFonts w:hint="eastAsia" w:ascii="仿宋_GB2312" w:hAnsi="仿宋" w:cs="宋体"/>
          <w:color w:val="auto"/>
          <w:spacing w:val="0"/>
          <w:kern w:val="0"/>
          <w:lang w:bidi="ar-SA"/>
        </w:rPr>
        <w:t xml:space="preserve">  参加评</w:t>
      </w:r>
      <w:r>
        <w:rPr>
          <w:rFonts w:hint="eastAsia" w:ascii="仿宋_GB2312" w:hAnsi="仿宋" w:cs="宋体"/>
          <w:color w:val="auto"/>
          <w:spacing w:val="0"/>
          <w:kern w:val="0"/>
          <w:lang w:val="en-US" w:eastAsia="zh-CN" w:bidi="ar-SA"/>
        </w:rPr>
        <w:t>价</w:t>
      </w:r>
      <w:r>
        <w:rPr>
          <w:rFonts w:hint="eastAsia" w:ascii="仿宋_GB2312" w:hAnsi="仿宋" w:cs="宋体"/>
          <w:color w:val="auto"/>
          <w:spacing w:val="0"/>
          <w:kern w:val="0"/>
          <w:lang w:bidi="ar-SA"/>
        </w:rPr>
        <w:t>的工程在评</w:t>
      </w:r>
      <w:r>
        <w:rPr>
          <w:rFonts w:hint="eastAsia" w:ascii="仿宋_GB2312" w:hAnsi="仿宋" w:cs="宋体"/>
          <w:color w:val="auto"/>
          <w:spacing w:val="0"/>
          <w:kern w:val="0"/>
          <w:lang w:val="en-US" w:eastAsia="zh-CN" w:bidi="ar-SA"/>
        </w:rPr>
        <w:t>价</w:t>
      </w:r>
      <w:r>
        <w:rPr>
          <w:rFonts w:hint="eastAsia" w:ascii="仿宋_GB2312" w:hAnsi="仿宋" w:cs="宋体"/>
          <w:color w:val="auto"/>
          <w:spacing w:val="0"/>
          <w:kern w:val="0"/>
          <w:lang w:bidi="ar-SA"/>
        </w:rPr>
        <w:t>前申报单位需提供反映地基基础、主体结构施工过程中质量管理、过程控制、检验检测、程序验收情况的5分钟影像资料或PPT资料。</w:t>
      </w:r>
    </w:p>
    <w:p w14:paraId="6F8490B5">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firstLine="652" w:firstLineChars="200"/>
        <w:contextualSpacing/>
        <w:textAlignment w:val="auto"/>
        <w:outlineLvl w:val="9"/>
        <w:rPr>
          <w:rFonts w:hint="eastAsia" w:ascii="仿宋_GB2312" w:hAnsi="仿宋" w:cs="宋体"/>
          <w:color w:val="auto"/>
          <w:spacing w:val="0"/>
          <w:kern w:val="0"/>
          <w:lang w:val="en-US" w:eastAsia="zh-CN" w:bidi="ar-SA"/>
        </w:rPr>
      </w:pPr>
      <w:r>
        <w:rPr>
          <w:rFonts w:hint="eastAsia" w:ascii="仿宋_GB2312" w:hAnsi="仿宋" w:cs="宋体"/>
          <w:b/>
          <w:color w:val="auto"/>
          <w:spacing w:val="0"/>
          <w:kern w:val="0"/>
          <w:lang w:bidi="ar-SA"/>
        </w:rPr>
        <w:t>第十二条</w:t>
      </w:r>
      <w:r>
        <w:rPr>
          <w:rFonts w:hint="eastAsia" w:ascii="仿宋_GB2312" w:hAnsi="仿宋" w:cs="宋体"/>
          <w:color w:val="auto"/>
          <w:spacing w:val="0"/>
          <w:kern w:val="0"/>
          <w:lang w:bidi="ar-SA"/>
        </w:rPr>
        <w:t xml:space="preserve">  </w:t>
      </w:r>
      <w:r>
        <w:rPr>
          <w:rFonts w:hint="eastAsia" w:ascii="仿宋_GB2312" w:hAnsi="仿宋" w:cs="宋体"/>
          <w:color w:val="auto"/>
          <w:spacing w:val="0"/>
          <w:kern w:val="0"/>
          <w:lang w:eastAsia="zh-CN" w:bidi="ar-SA"/>
        </w:rPr>
        <w:t>专家组评</w:t>
      </w:r>
      <w:r>
        <w:rPr>
          <w:rFonts w:hint="eastAsia" w:ascii="仿宋_GB2312" w:hAnsi="仿宋" w:cs="宋体"/>
          <w:color w:val="auto"/>
          <w:spacing w:val="0"/>
          <w:kern w:val="0"/>
          <w:lang w:val="en-US" w:eastAsia="zh-CN" w:bidi="ar-SA"/>
        </w:rPr>
        <w:t>价</w:t>
      </w:r>
      <w:r>
        <w:rPr>
          <w:rFonts w:hint="eastAsia" w:ascii="仿宋_GB2312" w:hAnsi="仿宋" w:cs="宋体"/>
          <w:color w:val="auto"/>
          <w:spacing w:val="0"/>
          <w:kern w:val="0"/>
          <w:lang w:eastAsia="zh-CN" w:bidi="ar-SA"/>
        </w:rPr>
        <w:t>通过的项目列为市</w:t>
      </w:r>
      <w:r>
        <w:rPr>
          <w:rFonts w:hint="eastAsia" w:ascii="仿宋_GB2312" w:hAnsi="仿宋" w:cs="宋体"/>
          <w:color w:val="auto"/>
          <w:spacing w:val="0"/>
          <w:kern w:val="0"/>
          <w:lang w:val="en-US" w:eastAsia="zh-CN" w:bidi="ar-SA"/>
        </w:rPr>
        <w:t>结构质量水平评价</w:t>
      </w:r>
      <w:r>
        <w:rPr>
          <w:rFonts w:hint="eastAsia" w:ascii="仿宋_GB2312" w:hAnsi="仿宋" w:cs="宋体"/>
          <w:color w:val="auto"/>
          <w:spacing w:val="0"/>
          <w:kern w:val="0"/>
          <w:lang w:eastAsia="zh-CN" w:bidi="ar-SA"/>
        </w:rPr>
        <w:t>入选项目</w:t>
      </w:r>
      <w:r>
        <w:rPr>
          <w:rFonts w:hint="eastAsia" w:ascii="仿宋_GB2312" w:hAnsi="仿宋" w:cs="宋体"/>
          <w:color w:val="auto"/>
          <w:spacing w:val="0"/>
          <w:kern w:val="0"/>
          <w:lang w:bidi="ar-SA"/>
        </w:rPr>
        <w:t>，</w:t>
      </w:r>
      <w:r>
        <w:rPr>
          <w:rFonts w:hint="eastAsia" w:ascii="仿宋_GB2312" w:hAnsi="仿宋" w:cs="宋体"/>
          <w:color w:val="auto"/>
          <w:spacing w:val="0"/>
          <w:kern w:val="0"/>
          <w:lang w:eastAsia="zh-CN" w:bidi="ar-SA"/>
        </w:rPr>
        <w:t>入选项目经市建筑协会大评委通过后</w:t>
      </w:r>
      <w:r>
        <w:rPr>
          <w:rFonts w:hint="eastAsia" w:ascii="仿宋_GB2312" w:hAnsi="仿宋" w:cs="宋体"/>
          <w:color w:val="auto"/>
          <w:spacing w:val="0"/>
          <w:kern w:val="0"/>
          <w:lang w:bidi="ar-SA"/>
        </w:rPr>
        <w:t>在韶关市</w:t>
      </w:r>
      <w:r>
        <w:rPr>
          <w:rFonts w:hint="eastAsia" w:ascii="仿宋_GB2312" w:hAnsi="仿宋" w:cs="宋体"/>
          <w:color w:val="auto"/>
          <w:spacing w:val="0"/>
          <w:kern w:val="0"/>
          <w:lang w:val="en-US" w:eastAsia="zh-CN" w:bidi="ar-SA"/>
        </w:rPr>
        <w:t>建筑协会</w:t>
      </w:r>
      <w:r>
        <w:rPr>
          <w:rFonts w:hint="eastAsia" w:ascii="仿宋_GB2312" w:hAnsi="仿宋" w:cs="宋体"/>
          <w:color w:val="auto"/>
          <w:spacing w:val="0"/>
          <w:kern w:val="0"/>
          <w:lang w:bidi="ar-SA"/>
        </w:rPr>
        <w:t>网站公示</w:t>
      </w:r>
      <w:r>
        <w:rPr>
          <w:rFonts w:hint="eastAsia" w:ascii="仿宋_GB2312" w:hAnsi="仿宋" w:cs="宋体"/>
          <w:color w:val="auto"/>
          <w:spacing w:val="0"/>
          <w:kern w:val="0"/>
          <w:lang w:eastAsia="zh-CN" w:bidi="ar-SA"/>
        </w:rPr>
        <w:t>七</w:t>
      </w:r>
      <w:r>
        <w:rPr>
          <w:rFonts w:hint="eastAsia" w:ascii="仿宋_GB2312" w:hAnsi="仿宋" w:cs="宋体"/>
          <w:color w:val="auto"/>
          <w:spacing w:val="0"/>
          <w:kern w:val="0"/>
          <w:lang w:bidi="ar-SA"/>
        </w:rPr>
        <w:t>天，公示无异议后，视为通过市</w:t>
      </w:r>
      <w:r>
        <w:rPr>
          <w:rFonts w:hint="eastAsia" w:ascii="仿宋_GB2312" w:hAnsi="仿宋" w:cs="宋体"/>
          <w:color w:val="auto"/>
          <w:spacing w:val="0"/>
          <w:kern w:val="0"/>
          <w:lang w:val="en-US" w:eastAsia="zh-CN" w:bidi="ar-SA"/>
        </w:rPr>
        <w:t xml:space="preserve">结构质量水平评价（A级/AA级，其中A级80～85分；AA 级85分以上（不含85分））。  </w:t>
      </w:r>
    </w:p>
    <w:p w14:paraId="62F68B08">
      <w:pPr>
        <w:keepNext w:val="0"/>
        <w:keepLines w:val="0"/>
        <w:pageBreakBefore w:val="0"/>
        <w:widowControl w:val="0"/>
        <w:kinsoku/>
        <w:wordWrap/>
        <w:overflowPunct/>
        <w:topLinePunct w:val="0"/>
        <w:autoSpaceDE/>
        <w:autoSpaceDN/>
        <w:bidi w:val="0"/>
        <w:adjustRightInd w:val="0"/>
        <w:snapToGrid w:val="0"/>
        <w:spacing w:line="640" w:lineRule="exact"/>
        <w:ind w:right="0" w:rightChars="0" w:firstLine="652" w:firstLineChars="200"/>
        <w:contextualSpacing/>
        <w:textAlignment w:val="auto"/>
        <w:outlineLvl w:val="9"/>
        <w:rPr>
          <w:rFonts w:hint="default" w:ascii="仿宋_GB2312" w:hAnsi="仿宋" w:eastAsia="仿宋_GB2312" w:cs="宋体"/>
          <w:color w:val="auto"/>
          <w:spacing w:val="0"/>
          <w:kern w:val="0"/>
          <w:lang w:val="en-US" w:eastAsia="zh-CN" w:bidi="ar-SA"/>
        </w:rPr>
      </w:pPr>
      <w:r>
        <w:rPr>
          <w:rFonts w:hint="eastAsia" w:ascii="仿宋_GB2312" w:hAnsi="仿宋" w:cs="宋体"/>
          <w:b/>
          <w:color w:val="auto"/>
          <w:spacing w:val="0"/>
          <w:kern w:val="0"/>
          <w:lang w:bidi="ar-SA"/>
        </w:rPr>
        <w:t>第十三条</w:t>
      </w:r>
      <w:r>
        <w:rPr>
          <w:rFonts w:hint="eastAsia" w:ascii="仿宋_GB2312" w:hAnsi="仿宋" w:cs="宋体"/>
          <w:b/>
          <w:color w:val="auto"/>
          <w:spacing w:val="0"/>
          <w:kern w:val="0"/>
          <w:lang w:val="en-US" w:eastAsia="zh-CN" w:bidi="ar-SA"/>
        </w:rPr>
        <w:t xml:space="preserve">  </w:t>
      </w:r>
      <w:r>
        <w:rPr>
          <w:rFonts w:hint="eastAsia" w:ascii="仿宋_GB2312" w:hAnsi="仿宋" w:cs="宋体"/>
          <w:color w:val="auto"/>
          <w:spacing w:val="0"/>
          <w:kern w:val="0"/>
          <w:lang w:val="en-US" w:eastAsia="zh-CN" w:bidi="ar-SA"/>
        </w:rPr>
        <w:t>通过</w:t>
      </w:r>
      <w:r>
        <w:rPr>
          <w:rFonts w:hint="eastAsia" w:ascii="仿宋_GB2312" w:hAnsi="仿宋" w:cs="宋体"/>
          <w:color w:val="auto"/>
          <w:spacing w:val="0"/>
          <w:kern w:val="0"/>
          <w:lang w:bidi="ar-SA"/>
        </w:rPr>
        <w:t>市</w:t>
      </w:r>
      <w:r>
        <w:rPr>
          <w:rFonts w:hint="eastAsia" w:ascii="仿宋_GB2312" w:hAnsi="仿宋" w:cs="宋体"/>
          <w:color w:val="auto"/>
          <w:spacing w:val="0"/>
          <w:kern w:val="0"/>
          <w:lang w:val="en-US" w:eastAsia="zh-CN" w:bidi="ar-SA"/>
        </w:rPr>
        <w:t>结构质量水平评价AA级的项目在项目竣工验收备案后的第二年可以参与申报市建设工程施工质量评价。</w:t>
      </w:r>
    </w:p>
    <w:p w14:paraId="7B7ACBE3">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firstLine="652" w:firstLineChars="200"/>
        <w:contextualSpacing/>
        <w:textAlignment w:val="auto"/>
        <w:outlineLvl w:val="9"/>
        <w:rPr>
          <w:rFonts w:hint="eastAsia" w:ascii="仿宋_GB2312" w:hAnsi="仿宋" w:cs="宋体"/>
          <w:color w:val="auto"/>
          <w:spacing w:val="0"/>
          <w:kern w:val="0"/>
          <w:lang w:bidi="ar-SA"/>
        </w:rPr>
      </w:pPr>
      <w:r>
        <w:rPr>
          <w:rFonts w:hint="eastAsia" w:ascii="仿宋_GB2312" w:hAnsi="仿宋" w:cs="宋体"/>
          <w:b/>
          <w:color w:val="auto"/>
          <w:spacing w:val="0"/>
          <w:kern w:val="0"/>
          <w:lang w:bidi="ar-SA"/>
        </w:rPr>
        <w:t>第十</w:t>
      </w:r>
      <w:r>
        <w:rPr>
          <w:rFonts w:hint="eastAsia" w:ascii="仿宋_GB2312" w:hAnsi="仿宋" w:cs="宋体"/>
          <w:b/>
          <w:color w:val="auto"/>
          <w:spacing w:val="0"/>
          <w:kern w:val="0"/>
          <w:lang w:val="en-US" w:eastAsia="zh-CN" w:bidi="ar-SA"/>
        </w:rPr>
        <w:t>四</w:t>
      </w:r>
      <w:r>
        <w:rPr>
          <w:rFonts w:hint="eastAsia" w:ascii="仿宋_GB2312" w:hAnsi="仿宋" w:cs="宋体"/>
          <w:b/>
          <w:color w:val="auto"/>
          <w:spacing w:val="0"/>
          <w:kern w:val="0"/>
          <w:lang w:bidi="ar-SA"/>
        </w:rPr>
        <w:t>条</w:t>
      </w:r>
      <w:r>
        <w:rPr>
          <w:rFonts w:hint="eastAsia" w:ascii="仿宋_GB2312" w:hAnsi="仿宋" w:cs="宋体"/>
          <w:color w:val="auto"/>
          <w:spacing w:val="0"/>
          <w:kern w:val="0"/>
          <w:lang w:bidi="ar-SA"/>
        </w:rPr>
        <w:t xml:space="preserve">  评</w:t>
      </w:r>
      <w:r>
        <w:rPr>
          <w:rFonts w:hint="eastAsia" w:ascii="仿宋_GB2312" w:hAnsi="仿宋" w:cs="宋体"/>
          <w:color w:val="auto"/>
          <w:spacing w:val="0"/>
          <w:kern w:val="0"/>
          <w:lang w:val="en-US" w:eastAsia="zh-CN" w:bidi="ar-SA"/>
        </w:rPr>
        <w:t>价</w:t>
      </w:r>
      <w:r>
        <w:rPr>
          <w:rFonts w:hint="eastAsia" w:ascii="仿宋_GB2312" w:hAnsi="仿宋" w:cs="宋体"/>
          <w:color w:val="auto"/>
          <w:spacing w:val="0"/>
          <w:kern w:val="0"/>
          <w:lang w:bidi="ar-SA"/>
        </w:rPr>
        <w:t>结果公布后，凡经举报、投诉或后期建设发现主体结构存在质量问题的,市建筑协会将组织专家对工程进行调查、核实,达不到市</w:t>
      </w:r>
      <w:r>
        <w:rPr>
          <w:rFonts w:hint="eastAsia" w:ascii="仿宋_GB2312" w:hAnsi="仿宋" w:cs="宋体"/>
          <w:color w:val="auto"/>
          <w:spacing w:val="0"/>
          <w:kern w:val="0"/>
          <w:lang w:val="en-US" w:eastAsia="zh-CN" w:bidi="ar-SA"/>
        </w:rPr>
        <w:t>结构质量水平评价</w:t>
      </w:r>
      <w:r>
        <w:rPr>
          <w:rFonts w:hint="eastAsia" w:ascii="仿宋_GB2312" w:hAnsi="仿宋" w:cs="宋体"/>
          <w:color w:val="auto"/>
          <w:spacing w:val="0"/>
          <w:kern w:val="0"/>
          <w:lang w:bidi="ar-SA"/>
        </w:rPr>
        <w:t>的工程，撤销</w:t>
      </w:r>
      <w:r>
        <w:rPr>
          <w:rFonts w:hint="eastAsia" w:ascii="仿宋_GB2312" w:hAnsi="仿宋" w:cs="宋体"/>
          <w:color w:val="auto"/>
          <w:spacing w:val="0"/>
          <w:kern w:val="0"/>
          <w:lang w:val="en-US" w:eastAsia="zh-CN" w:bidi="ar-SA"/>
        </w:rPr>
        <w:t>并收回</w:t>
      </w:r>
      <w:r>
        <w:rPr>
          <w:rFonts w:hint="eastAsia" w:ascii="仿宋_GB2312" w:hAnsi="仿宋" w:cs="宋体"/>
          <w:color w:val="auto"/>
          <w:spacing w:val="0"/>
          <w:kern w:val="0"/>
          <w:lang w:bidi="ar-SA"/>
        </w:rPr>
        <w:t>其市</w:t>
      </w:r>
      <w:r>
        <w:rPr>
          <w:rFonts w:hint="eastAsia" w:ascii="仿宋_GB2312" w:hAnsi="仿宋" w:cs="宋体"/>
          <w:color w:val="auto"/>
          <w:spacing w:val="0"/>
          <w:kern w:val="0"/>
          <w:lang w:val="en-US" w:eastAsia="zh-CN" w:bidi="ar-SA"/>
        </w:rPr>
        <w:t>结构质量水平评价项目证书</w:t>
      </w:r>
      <w:r>
        <w:rPr>
          <w:rFonts w:hint="eastAsia" w:ascii="仿宋_GB2312" w:hAnsi="仿宋" w:cs="宋体"/>
          <w:color w:val="auto"/>
          <w:spacing w:val="0"/>
          <w:kern w:val="0"/>
          <w:lang w:bidi="ar-SA"/>
        </w:rPr>
        <w:t>。</w:t>
      </w:r>
    </w:p>
    <w:p w14:paraId="02B173AE">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contextualSpacing/>
        <w:jc w:val="center"/>
        <w:textAlignment w:val="auto"/>
        <w:outlineLvl w:val="9"/>
        <w:rPr>
          <w:rFonts w:hint="eastAsia" w:ascii="仿宋_GB2312" w:hAnsi="黑体" w:cs="宋体"/>
          <w:b/>
          <w:bCs/>
          <w:color w:val="auto"/>
          <w:spacing w:val="0"/>
          <w:kern w:val="0"/>
          <w:lang w:bidi="ar-SA"/>
        </w:rPr>
      </w:pPr>
      <w:r>
        <w:rPr>
          <w:rFonts w:hint="eastAsia" w:ascii="仿宋_GB2312" w:hAnsi="黑体" w:cs="宋体"/>
          <w:b/>
          <w:bCs/>
          <w:color w:val="auto"/>
          <w:spacing w:val="0"/>
          <w:kern w:val="0"/>
          <w:lang w:bidi="ar-SA"/>
        </w:rPr>
        <w:t>第五章  表  彰</w:t>
      </w:r>
    </w:p>
    <w:p w14:paraId="2DE327A2">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firstLine="652" w:firstLineChars="200"/>
        <w:contextualSpacing/>
        <w:textAlignment w:val="auto"/>
        <w:outlineLvl w:val="9"/>
        <w:rPr>
          <w:rFonts w:hint="eastAsia" w:ascii="仿宋_GB2312" w:hAnsi="仿宋" w:cs="宋体"/>
          <w:color w:val="auto"/>
          <w:spacing w:val="0"/>
          <w:kern w:val="0"/>
          <w:lang w:bidi="ar-SA"/>
        </w:rPr>
      </w:pPr>
      <w:r>
        <w:rPr>
          <w:rFonts w:hint="eastAsia" w:ascii="仿宋_GB2312" w:hAnsi="仿宋" w:cs="宋体"/>
          <w:b/>
          <w:color w:val="auto"/>
          <w:spacing w:val="0"/>
          <w:kern w:val="0"/>
          <w:lang w:bidi="ar-SA"/>
        </w:rPr>
        <w:t>第十</w:t>
      </w:r>
      <w:r>
        <w:rPr>
          <w:rFonts w:hint="eastAsia" w:ascii="仿宋_GB2312" w:hAnsi="仿宋" w:cs="宋体"/>
          <w:b/>
          <w:color w:val="auto"/>
          <w:spacing w:val="0"/>
          <w:kern w:val="0"/>
          <w:lang w:val="en-US" w:eastAsia="zh-CN" w:bidi="ar-SA"/>
        </w:rPr>
        <w:t>五</w:t>
      </w:r>
      <w:r>
        <w:rPr>
          <w:rFonts w:hint="eastAsia" w:ascii="仿宋_GB2312" w:hAnsi="仿宋" w:cs="宋体"/>
          <w:b/>
          <w:color w:val="auto"/>
          <w:spacing w:val="0"/>
          <w:kern w:val="0"/>
          <w:lang w:bidi="ar-SA"/>
        </w:rPr>
        <w:t>条</w:t>
      </w:r>
      <w:r>
        <w:rPr>
          <w:rFonts w:hint="eastAsia" w:ascii="仿宋_GB2312" w:hAnsi="仿宋" w:cs="宋体"/>
          <w:color w:val="auto"/>
          <w:spacing w:val="0"/>
          <w:kern w:val="0"/>
          <w:lang w:bidi="ar-SA"/>
        </w:rPr>
        <w:t xml:space="preserve">  </w:t>
      </w:r>
      <w:r>
        <w:rPr>
          <w:rFonts w:hint="eastAsia" w:ascii="仿宋_GB2312" w:hAnsi="仿宋" w:cs="宋体"/>
          <w:color w:val="auto"/>
          <w:spacing w:val="0"/>
          <w:kern w:val="0"/>
          <w:lang w:val="en-US" w:eastAsia="zh-CN" w:bidi="ar-SA"/>
        </w:rPr>
        <w:t>通过市结构质量水平评价的项目</w:t>
      </w:r>
      <w:r>
        <w:rPr>
          <w:rFonts w:hint="eastAsia" w:ascii="仿宋_GB2312" w:hAnsi="仿宋" w:cs="宋体"/>
          <w:color w:val="auto"/>
          <w:spacing w:val="0"/>
          <w:kern w:val="0"/>
          <w:lang w:bidi="ar-SA"/>
        </w:rPr>
        <w:t>由市建筑协会发文通报表彰。对</w:t>
      </w:r>
      <w:r>
        <w:rPr>
          <w:rFonts w:hint="eastAsia" w:ascii="仿宋_GB2312" w:hAnsi="仿宋" w:cs="宋体"/>
          <w:color w:val="auto"/>
          <w:spacing w:val="0"/>
          <w:kern w:val="0"/>
          <w:lang w:val="en-US" w:eastAsia="zh-CN" w:bidi="ar-SA"/>
        </w:rPr>
        <w:t>通过市</w:t>
      </w:r>
      <w:r>
        <w:rPr>
          <w:rFonts w:hint="eastAsia" w:ascii="仿宋_GB2312" w:hAnsi="仿宋" w:cs="宋体"/>
          <w:color w:val="auto"/>
          <w:spacing w:val="0"/>
          <w:kern w:val="0"/>
          <w:lang w:bidi="ar-SA"/>
        </w:rPr>
        <w:t>“</w:t>
      </w:r>
      <w:r>
        <w:rPr>
          <w:rFonts w:hint="eastAsia" w:ascii="仿宋_GB2312" w:hAnsi="仿宋" w:cs="宋体"/>
          <w:color w:val="auto"/>
          <w:spacing w:val="0"/>
          <w:kern w:val="0"/>
          <w:lang w:val="en-US" w:eastAsia="zh-CN" w:bidi="ar-SA"/>
        </w:rPr>
        <w:t>结构质量水平评价</w:t>
      </w:r>
      <w:r>
        <w:rPr>
          <w:rFonts w:hint="eastAsia" w:ascii="仿宋_GB2312" w:hAnsi="仿宋" w:cs="宋体"/>
          <w:color w:val="auto"/>
          <w:spacing w:val="0"/>
          <w:kern w:val="0"/>
          <w:lang w:bidi="ar-SA"/>
        </w:rPr>
        <w:t>”</w:t>
      </w:r>
      <w:r>
        <w:rPr>
          <w:rFonts w:hint="eastAsia" w:ascii="仿宋_GB2312" w:hAnsi="仿宋" w:cs="宋体"/>
          <w:color w:val="auto"/>
          <w:spacing w:val="0"/>
          <w:kern w:val="0"/>
          <w:lang w:val="en-US" w:eastAsia="zh-CN" w:bidi="ar-SA"/>
        </w:rPr>
        <w:t>项目</w:t>
      </w:r>
      <w:r>
        <w:rPr>
          <w:rFonts w:hint="eastAsia" w:ascii="仿宋_GB2312" w:hAnsi="仿宋" w:cs="宋体"/>
          <w:color w:val="auto"/>
          <w:spacing w:val="0"/>
          <w:kern w:val="0"/>
          <w:lang w:bidi="ar-SA"/>
        </w:rPr>
        <w:t>的施工单位、监理单位</w:t>
      </w:r>
      <w:r>
        <w:rPr>
          <w:rFonts w:hint="eastAsia" w:ascii="仿宋_GB2312" w:hAnsi="仿宋" w:cs="宋体"/>
          <w:color w:val="auto"/>
          <w:spacing w:val="0"/>
          <w:kern w:val="0"/>
          <w:lang w:val="en-US" w:eastAsia="zh-CN" w:bidi="ar-SA"/>
        </w:rPr>
        <w:t>颁发荣誉</w:t>
      </w:r>
      <w:r>
        <w:rPr>
          <w:rFonts w:hint="eastAsia" w:ascii="仿宋_GB2312" w:hAnsi="仿宋" w:cs="宋体"/>
          <w:color w:val="auto"/>
          <w:spacing w:val="0"/>
          <w:kern w:val="0"/>
          <w:lang w:bidi="ar-SA"/>
        </w:rPr>
        <w:t>证书，并予</w:t>
      </w:r>
      <w:r>
        <w:rPr>
          <w:rFonts w:hint="eastAsia" w:ascii="仿宋_GB2312" w:hAnsi="仿宋" w:cs="宋体"/>
          <w:color w:val="auto"/>
          <w:spacing w:val="0"/>
          <w:kern w:val="0"/>
          <w:lang w:val="en-US" w:eastAsia="zh-CN" w:bidi="ar-SA"/>
        </w:rPr>
        <w:t>以</w:t>
      </w:r>
      <w:r>
        <w:rPr>
          <w:rFonts w:hint="eastAsia" w:ascii="仿宋_GB2312" w:hAnsi="仿宋" w:cs="宋体"/>
          <w:color w:val="auto"/>
          <w:spacing w:val="0"/>
          <w:kern w:val="0"/>
          <w:lang w:bidi="ar-SA"/>
        </w:rPr>
        <w:t>公布。</w:t>
      </w:r>
    </w:p>
    <w:p w14:paraId="2E97ED88">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contextualSpacing/>
        <w:jc w:val="center"/>
        <w:textAlignment w:val="auto"/>
        <w:outlineLvl w:val="9"/>
        <w:rPr>
          <w:rFonts w:hint="eastAsia" w:ascii="仿宋_GB2312" w:hAnsi="黑体" w:cs="宋体"/>
          <w:b/>
          <w:bCs/>
          <w:color w:val="auto"/>
          <w:spacing w:val="0"/>
          <w:kern w:val="0"/>
          <w:lang w:bidi="ar-SA"/>
        </w:rPr>
      </w:pPr>
      <w:r>
        <w:rPr>
          <w:rFonts w:hint="eastAsia" w:ascii="仿宋_GB2312" w:hAnsi="黑体" w:cs="宋体"/>
          <w:b/>
          <w:bCs/>
          <w:color w:val="auto"/>
          <w:spacing w:val="0"/>
          <w:kern w:val="0"/>
          <w:lang w:bidi="ar-SA"/>
        </w:rPr>
        <w:t>第六章  附  则</w:t>
      </w:r>
    </w:p>
    <w:p w14:paraId="5D0AD5E7">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firstLine="652" w:firstLineChars="200"/>
        <w:contextualSpacing/>
        <w:textAlignment w:val="auto"/>
        <w:outlineLvl w:val="9"/>
        <w:rPr>
          <w:rFonts w:hint="eastAsia" w:ascii="仿宋_GB2312" w:hAnsi="仿宋" w:cs="宋体"/>
          <w:color w:val="auto"/>
          <w:spacing w:val="0"/>
          <w:kern w:val="0"/>
          <w:lang w:bidi="ar-SA"/>
        </w:rPr>
      </w:pPr>
      <w:r>
        <w:rPr>
          <w:rFonts w:hint="eastAsia" w:ascii="仿宋_GB2312" w:hAnsi="仿宋" w:cs="宋体"/>
          <w:b/>
          <w:color w:val="auto"/>
          <w:spacing w:val="0"/>
          <w:kern w:val="0"/>
          <w:lang w:bidi="ar-SA"/>
        </w:rPr>
        <w:t>第十</w:t>
      </w:r>
      <w:r>
        <w:rPr>
          <w:rFonts w:hint="eastAsia" w:ascii="仿宋_GB2312" w:hAnsi="仿宋" w:cs="宋体"/>
          <w:b/>
          <w:color w:val="auto"/>
          <w:spacing w:val="0"/>
          <w:kern w:val="0"/>
          <w:lang w:val="en-US" w:eastAsia="zh-CN" w:bidi="ar-SA"/>
        </w:rPr>
        <w:t>六</w:t>
      </w:r>
      <w:r>
        <w:rPr>
          <w:rFonts w:hint="eastAsia" w:ascii="仿宋_GB2312" w:hAnsi="仿宋" w:cs="宋体"/>
          <w:b/>
          <w:color w:val="auto"/>
          <w:spacing w:val="0"/>
          <w:kern w:val="0"/>
          <w:lang w:bidi="ar-SA"/>
        </w:rPr>
        <w:t>条</w:t>
      </w:r>
      <w:r>
        <w:rPr>
          <w:rFonts w:hint="eastAsia" w:ascii="仿宋_GB2312" w:hAnsi="仿宋" w:cs="宋体"/>
          <w:color w:val="auto"/>
          <w:spacing w:val="0"/>
          <w:kern w:val="0"/>
          <w:lang w:bidi="ar-SA"/>
        </w:rPr>
        <w:t xml:space="preserve">  本办法由韶关市建筑协会负责解释。</w:t>
      </w:r>
    </w:p>
    <w:p w14:paraId="6C8964E3">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firstLine="652" w:firstLineChars="200"/>
        <w:contextualSpacing/>
        <w:textAlignment w:val="auto"/>
        <w:outlineLvl w:val="9"/>
        <w:rPr>
          <w:rFonts w:hint="eastAsia" w:ascii="仿宋_GB2312" w:hAnsi="仿宋" w:cs="宋体"/>
          <w:spacing w:val="0"/>
          <w:kern w:val="0"/>
          <w:sz w:val="21"/>
          <w:szCs w:val="21"/>
          <w:lang w:bidi="ar-SA"/>
        </w:rPr>
      </w:pPr>
      <w:r>
        <w:rPr>
          <w:rFonts w:hint="eastAsia" w:ascii="仿宋_GB2312" w:hAnsi="仿宋" w:cs="宋体"/>
          <w:b/>
          <w:color w:val="auto"/>
          <w:spacing w:val="0"/>
          <w:kern w:val="0"/>
          <w:lang w:bidi="ar-SA"/>
        </w:rPr>
        <w:t>第十</w:t>
      </w:r>
      <w:r>
        <w:rPr>
          <w:rFonts w:hint="eastAsia" w:ascii="仿宋_GB2312" w:hAnsi="仿宋" w:cs="宋体"/>
          <w:b/>
          <w:color w:val="auto"/>
          <w:spacing w:val="0"/>
          <w:kern w:val="0"/>
          <w:lang w:val="en-US" w:eastAsia="zh-CN" w:bidi="ar-SA"/>
        </w:rPr>
        <w:t>七</w:t>
      </w:r>
      <w:r>
        <w:rPr>
          <w:rFonts w:hint="eastAsia" w:ascii="仿宋_GB2312" w:hAnsi="仿宋" w:cs="宋体"/>
          <w:b/>
          <w:color w:val="auto"/>
          <w:spacing w:val="0"/>
          <w:kern w:val="0"/>
          <w:lang w:bidi="ar-SA"/>
        </w:rPr>
        <w:t>条</w:t>
      </w:r>
      <w:r>
        <w:rPr>
          <w:rFonts w:hint="eastAsia" w:ascii="仿宋_GB2312" w:hAnsi="仿宋" w:cs="宋体"/>
          <w:color w:val="auto"/>
          <w:spacing w:val="0"/>
          <w:kern w:val="0"/>
          <w:lang w:bidi="ar-SA"/>
        </w:rPr>
        <w:t xml:space="preserve">  本办法自公布之日起实施。</w:t>
      </w:r>
    </w:p>
    <w:sectPr>
      <w:footerReference r:id="rId5" w:type="default"/>
      <w:footerReference r:id="rId6" w:type="even"/>
      <w:pgSz w:w="11906" w:h="16838"/>
      <w:pgMar w:top="1247" w:right="1304" w:bottom="1191" w:left="1247" w:header="851" w:footer="1134" w:gutter="0"/>
      <w:pgNumType w:start="26"/>
      <w:cols w:space="720" w:num="1"/>
      <w:docGrid w:type="linesAndChars" w:linePitch="579" w:charSpace="122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华文中宋">
    <w:panose1 w:val="02010600040101010101"/>
    <w:charset w:val="86"/>
    <w:family w:val="auto"/>
    <w:pitch w:val="default"/>
    <w:sig w:usb0="00000287" w:usb1="080F0000" w:usb2="00000000" w:usb3="00000000" w:csb0="0004009F" w:csb1="DFD7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1D63A8">
    <w:pPr>
      <w:pStyle w:val="4"/>
      <w:tabs>
        <w:tab w:val="clear" w:pos="4153"/>
        <w:tab w:val="clear" w:pos="8306"/>
      </w:tabs>
      <w:wordWrap w:val="0"/>
      <w:ind w:right="11"/>
      <w:jc w:val="right"/>
      <w:rPr>
        <w:rFonts w:hint="eastAsia" w:ascii="楷体_GB2312" w:eastAsia="楷体_GB2312"/>
        <w:sz w:val="28"/>
        <w:szCs w:val="2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4FDB16">
    <w:pPr>
      <w:pStyle w:val="4"/>
      <w:ind w:firstLine="268" w:firstLineChars="100"/>
      <w:rPr>
        <w:rFonts w:hint="eastAsia" w:ascii="楷体_GB2312" w:eastAsia="楷体_GB2312"/>
        <w:sz w:val="28"/>
        <w:szCs w:val="28"/>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mirrorMargins w:val="1"/>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720"/>
  <w:hyphenationZone w:val="360"/>
  <w:evenAndOddHeaders w:val="1"/>
  <w:drawingGridHorizontalSpacing w:val="157"/>
  <w:drawingGridVerticalSpacing w:val="579"/>
  <w:displayHorizontalDrawingGridEvery w:val="1"/>
  <w:displayVerticalDrawingGridEvery w:val="1"/>
  <w:noPunctuationKerning w:val="1"/>
  <w:characterSpacingControl w:val="compressPunctuation"/>
  <w:doNotValidateAgainstSchema/>
  <w:doNotDemarcateInvalidXml/>
  <w:footnotePr>
    <w:footnote w:id="0"/>
    <w:footnote w:id="1"/>
  </w:footnotePr>
  <w:endnotePr>
    <w:endnote w:id="0"/>
    <w:endnote w:id="1"/>
  </w:endnotePr>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iDocStyle" w:val="2"/>
  </w:docVars>
  <w:rsids>
    <w:rsidRoot w:val="00172A27"/>
    <w:rsid w:val="000141C2"/>
    <w:rsid w:val="00014648"/>
    <w:rsid w:val="00027516"/>
    <w:rsid w:val="00031489"/>
    <w:rsid w:val="000421E1"/>
    <w:rsid w:val="00056C08"/>
    <w:rsid w:val="000B32FE"/>
    <w:rsid w:val="000C2275"/>
    <w:rsid w:val="000F3DDB"/>
    <w:rsid w:val="00110C6A"/>
    <w:rsid w:val="00117B99"/>
    <w:rsid w:val="0012148E"/>
    <w:rsid w:val="00132C7B"/>
    <w:rsid w:val="001409CA"/>
    <w:rsid w:val="00167F24"/>
    <w:rsid w:val="001730C6"/>
    <w:rsid w:val="001853AB"/>
    <w:rsid w:val="00186B1B"/>
    <w:rsid w:val="00186B7A"/>
    <w:rsid w:val="001E6CCA"/>
    <w:rsid w:val="001E7716"/>
    <w:rsid w:val="002129D4"/>
    <w:rsid w:val="002310C2"/>
    <w:rsid w:val="00251E08"/>
    <w:rsid w:val="0026223D"/>
    <w:rsid w:val="00274F3F"/>
    <w:rsid w:val="002A4D82"/>
    <w:rsid w:val="002C0006"/>
    <w:rsid w:val="002D513A"/>
    <w:rsid w:val="002E3885"/>
    <w:rsid w:val="002E7F1C"/>
    <w:rsid w:val="0030200B"/>
    <w:rsid w:val="00314B48"/>
    <w:rsid w:val="0033430F"/>
    <w:rsid w:val="0034344F"/>
    <w:rsid w:val="0035177C"/>
    <w:rsid w:val="0038048F"/>
    <w:rsid w:val="0039684B"/>
    <w:rsid w:val="003E0F6E"/>
    <w:rsid w:val="003E369A"/>
    <w:rsid w:val="00423059"/>
    <w:rsid w:val="00466DF3"/>
    <w:rsid w:val="0048102C"/>
    <w:rsid w:val="00493822"/>
    <w:rsid w:val="00493B60"/>
    <w:rsid w:val="004963A7"/>
    <w:rsid w:val="004B3711"/>
    <w:rsid w:val="004E6128"/>
    <w:rsid w:val="00506A9B"/>
    <w:rsid w:val="005314A1"/>
    <w:rsid w:val="00531673"/>
    <w:rsid w:val="00551C90"/>
    <w:rsid w:val="00590F1C"/>
    <w:rsid w:val="005A412B"/>
    <w:rsid w:val="005E3A25"/>
    <w:rsid w:val="00606F7F"/>
    <w:rsid w:val="0062768D"/>
    <w:rsid w:val="00672A81"/>
    <w:rsid w:val="006915B5"/>
    <w:rsid w:val="00695B9D"/>
    <w:rsid w:val="006B4A30"/>
    <w:rsid w:val="006D4327"/>
    <w:rsid w:val="006D4829"/>
    <w:rsid w:val="006D608B"/>
    <w:rsid w:val="006E36F2"/>
    <w:rsid w:val="00704925"/>
    <w:rsid w:val="007133A6"/>
    <w:rsid w:val="00776C9D"/>
    <w:rsid w:val="007932B5"/>
    <w:rsid w:val="007A5AEF"/>
    <w:rsid w:val="007A773F"/>
    <w:rsid w:val="007C0ACC"/>
    <w:rsid w:val="00803EBC"/>
    <w:rsid w:val="008153D9"/>
    <w:rsid w:val="008330FB"/>
    <w:rsid w:val="00837124"/>
    <w:rsid w:val="0085105C"/>
    <w:rsid w:val="0085182C"/>
    <w:rsid w:val="00852D4E"/>
    <w:rsid w:val="00874AE4"/>
    <w:rsid w:val="00875F17"/>
    <w:rsid w:val="008E01F8"/>
    <w:rsid w:val="008F6AD6"/>
    <w:rsid w:val="009071FF"/>
    <w:rsid w:val="009153D8"/>
    <w:rsid w:val="009237AF"/>
    <w:rsid w:val="009447D5"/>
    <w:rsid w:val="00955A5B"/>
    <w:rsid w:val="00963154"/>
    <w:rsid w:val="00965063"/>
    <w:rsid w:val="00987ABA"/>
    <w:rsid w:val="00987DC8"/>
    <w:rsid w:val="009A4991"/>
    <w:rsid w:val="009D1ED5"/>
    <w:rsid w:val="00A06900"/>
    <w:rsid w:val="00A10897"/>
    <w:rsid w:val="00A31435"/>
    <w:rsid w:val="00A42E7B"/>
    <w:rsid w:val="00A4308B"/>
    <w:rsid w:val="00A50B39"/>
    <w:rsid w:val="00A84C54"/>
    <w:rsid w:val="00AE198C"/>
    <w:rsid w:val="00AE30AF"/>
    <w:rsid w:val="00AE7FF4"/>
    <w:rsid w:val="00AF3243"/>
    <w:rsid w:val="00AF3A69"/>
    <w:rsid w:val="00AF5B7C"/>
    <w:rsid w:val="00B07EB6"/>
    <w:rsid w:val="00B26566"/>
    <w:rsid w:val="00B270B8"/>
    <w:rsid w:val="00B44139"/>
    <w:rsid w:val="00B52D30"/>
    <w:rsid w:val="00B8170A"/>
    <w:rsid w:val="00B87787"/>
    <w:rsid w:val="00BA2F85"/>
    <w:rsid w:val="00BA2F99"/>
    <w:rsid w:val="00BB355C"/>
    <w:rsid w:val="00BB7071"/>
    <w:rsid w:val="00C05ECF"/>
    <w:rsid w:val="00C11A49"/>
    <w:rsid w:val="00C12B71"/>
    <w:rsid w:val="00C12D24"/>
    <w:rsid w:val="00C208ED"/>
    <w:rsid w:val="00C3546D"/>
    <w:rsid w:val="00C535B4"/>
    <w:rsid w:val="00C65A4E"/>
    <w:rsid w:val="00C9368F"/>
    <w:rsid w:val="00CC2B23"/>
    <w:rsid w:val="00CE3F57"/>
    <w:rsid w:val="00D05C2E"/>
    <w:rsid w:val="00D136EB"/>
    <w:rsid w:val="00D15D7D"/>
    <w:rsid w:val="00D2770B"/>
    <w:rsid w:val="00D34753"/>
    <w:rsid w:val="00D50841"/>
    <w:rsid w:val="00D60D4A"/>
    <w:rsid w:val="00D633FD"/>
    <w:rsid w:val="00D92858"/>
    <w:rsid w:val="00D93E07"/>
    <w:rsid w:val="00D97CFB"/>
    <w:rsid w:val="00DA1282"/>
    <w:rsid w:val="00DC3A14"/>
    <w:rsid w:val="00DC7809"/>
    <w:rsid w:val="00DD2BDA"/>
    <w:rsid w:val="00DF5E0B"/>
    <w:rsid w:val="00E220A3"/>
    <w:rsid w:val="00E66A98"/>
    <w:rsid w:val="00E876F6"/>
    <w:rsid w:val="00E92415"/>
    <w:rsid w:val="00EA65AB"/>
    <w:rsid w:val="00EB41DA"/>
    <w:rsid w:val="00EC51EC"/>
    <w:rsid w:val="00EE2F59"/>
    <w:rsid w:val="00EF1387"/>
    <w:rsid w:val="00F031F9"/>
    <w:rsid w:val="00F06D8F"/>
    <w:rsid w:val="00F23C9F"/>
    <w:rsid w:val="00F33F01"/>
    <w:rsid w:val="00F54FE7"/>
    <w:rsid w:val="00F60F32"/>
    <w:rsid w:val="00F64097"/>
    <w:rsid w:val="00F7525C"/>
    <w:rsid w:val="00FD5019"/>
    <w:rsid w:val="00FF43F2"/>
    <w:rsid w:val="04DC68BC"/>
    <w:rsid w:val="08011E73"/>
    <w:rsid w:val="09CA3A46"/>
    <w:rsid w:val="0A4F494E"/>
    <w:rsid w:val="0AF80831"/>
    <w:rsid w:val="0C824587"/>
    <w:rsid w:val="0FF82623"/>
    <w:rsid w:val="13D812EE"/>
    <w:rsid w:val="16476637"/>
    <w:rsid w:val="19E73C4E"/>
    <w:rsid w:val="1C894BE2"/>
    <w:rsid w:val="1DB12F70"/>
    <w:rsid w:val="1FEA25BB"/>
    <w:rsid w:val="20287662"/>
    <w:rsid w:val="20307832"/>
    <w:rsid w:val="20874290"/>
    <w:rsid w:val="23030F6C"/>
    <w:rsid w:val="276F1381"/>
    <w:rsid w:val="2E263A76"/>
    <w:rsid w:val="328062D4"/>
    <w:rsid w:val="35995441"/>
    <w:rsid w:val="3A1C3493"/>
    <w:rsid w:val="3CCF31B7"/>
    <w:rsid w:val="3E20078F"/>
    <w:rsid w:val="3EF920AD"/>
    <w:rsid w:val="407A2355"/>
    <w:rsid w:val="4216782B"/>
    <w:rsid w:val="44B12E33"/>
    <w:rsid w:val="48FA4A0A"/>
    <w:rsid w:val="4B427FAA"/>
    <w:rsid w:val="4CF2369C"/>
    <w:rsid w:val="4EEE7861"/>
    <w:rsid w:val="51A04CCF"/>
    <w:rsid w:val="5662328A"/>
    <w:rsid w:val="58A77FE6"/>
    <w:rsid w:val="5BA01C71"/>
    <w:rsid w:val="5D0A5A06"/>
    <w:rsid w:val="64403DF9"/>
    <w:rsid w:val="64AC627E"/>
    <w:rsid w:val="68C94C12"/>
    <w:rsid w:val="69424782"/>
    <w:rsid w:val="6BA22E64"/>
    <w:rsid w:val="6F870AE3"/>
    <w:rsid w:val="7183780C"/>
    <w:rsid w:val="77457011"/>
    <w:rsid w:val="7CE079DF"/>
    <w:rsid w:val="7DA35A69"/>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0"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qFormat="1" w:unhideWhenUsed="0" w:uiPriority="0" w:semiHidden="0"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nhideWhenUsed="0" w:uiPriority="0"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qFormat="1" w:uiPriority="99" w:semiHidden="0"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0" w:semiHidden="0" w:name="Hyperlink"/>
    <w:lsdException w:qFormat="1" w:unhideWhenUsed="0" w:uiPriority="0" w:semiHidden="0"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240" w:lineRule="atLeast"/>
      <w:jc w:val="both"/>
    </w:pPr>
    <w:rPr>
      <w:rFonts w:ascii="Times New Roman" w:hAnsi="Times New Roman" w:eastAsia="仿宋_GB2312" w:cs="Times New Roman"/>
      <w:spacing w:val="-6"/>
      <w:kern w:val="2"/>
      <w:sz w:val="32"/>
      <w:szCs w:val="32"/>
      <w:lang w:val="en-US" w:eastAsia="zh-CN" w:bidi="he-IL"/>
    </w:rPr>
  </w:style>
  <w:style w:type="character" w:default="1" w:styleId="9">
    <w:name w:val="Default Paragraph Font"/>
    <w:qFormat/>
    <w:uiPriority w:val="0"/>
  </w:style>
  <w:style w:type="table" w:default="1" w:styleId="8">
    <w:name w:val="Normal Table"/>
    <w:unhideWhenUsed/>
    <w:qFormat/>
    <w:uiPriority w:val="99"/>
    <w:tblPr>
      <w:tblCellMar>
        <w:top w:w="0" w:type="dxa"/>
        <w:left w:w="108" w:type="dxa"/>
        <w:bottom w:w="0" w:type="dxa"/>
        <w:right w:w="108" w:type="dxa"/>
      </w:tblCellMar>
    </w:tblPr>
  </w:style>
  <w:style w:type="paragraph" w:styleId="2">
    <w:name w:val="Date"/>
    <w:basedOn w:val="1"/>
    <w:next w:val="1"/>
    <w:link w:val="17"/>
    <w:unhideWhenUsed/>
    <w:qFormat/>
    <w:uiPriority w:val="99"/>
    <w:pPr>
      <w:ind w:left="100" w:leftChars="2500"/>
    </w:pPr>
  </w:style>
  <w:style w:type="paragraph" w:styleId="3">
    <w:name w:val="Balloon Text"/>
    <w:basedOn w:val="1"/>
    <w:link w:val="14"/>
    <w:unhideWhenUsed/>
    <w:qFormat/>
    <w:uiPriority w:val="99"/>
    <w:pPr>
      <w:spacing w:line="240" w:lineRule="auto"/>
    </w:pPr>
    <w:rPr>
      <w:sz w:val="18"/>
      <w:szCs w:val="18"/>
    </w:rPr>
  </w:style>
  <w:style w:type="paragraph" w:styleId="4">
    <w:name w:val="footer"/>
    <w:basedOn w:val="1"/>
    <w:qFormat/>
    <w:uiPriority w:val="0"/>
    <w:pPr>
      <w:tabs>
        <w:tab w:val="center" w:pos="4153"/>
        <w:tab w:val="right" w:pos="8306"/>
      </w:tabs>
      <w:overflowPunct w:val="0"/>
      <w:autoSpaceDE w:val="0"/>
      <w:autoSpaceDN w:val="0"/>
      <w:adjustRightInd w:val="0"/>
      <w:spacing w:line="240" w:lineRule="atLeast"/>
      <w:jc w:val="both"/>
      <w:textAlignment w:val="baseline"/>
    </w:pPr>
    <w:rPr>
      <w:sz w:val="20"/>
      <w:szCs w:val="20"/>
    </w:rPr>
  </w:style>
  <w:style w:type="paragraph" w:styleId="5">
    <w:name w:val="header"/>
    <w:basedOn w:val="1"/>
    <w:qFormat/>
    <w:uiPriority w:val="0"/>
    <w:pPr>
      <w:tabs>
        <w:tab w:val="center" w:pos="4153"/>
        <w:tab w:val="right" w:pos="8306"/>
      </w:tabs>
      <w:overflowPunct w:val="0"/>
      <w:autoSpaceDE w:val="0"/>
      <w:autoSpaceDN w:val="0"/>
      <w:adjustRightInd w:val="0"/>
      <w:spacing w:line="240" w:lineRule="atLeast"/>
      <w:jc w:val="both"/>
      <w:textAlignment w:val="baseline"/>
    </w:pPr>
    <w:rPr>
      <w:sz w:val="20"/>
      <w:szCs w:val="20"/>
    </w:rPr>
  </w:style>
  <w:style w:type="paragraph" w:styleId="6">
    <w:name w:val="Subtitle"/>
    <w:basedOn w:val="1"/>
    <w:next w:val="1"/>
    <w:link w:val="18"/>
    <w:qFormat/>
    <w:uiPriority w:val="0"/>
    <w:pPr>
      <w:spacing w:before="240" w:after="60" w:line="312" w:lineRule="auto"/>
      <w:jc w:val="center"/>
      <w:outlineLvl w:val="1"/>
    </w:pPr>
    <w:rPr>
      <w:rFonts w:ascii="Cambria" w:hAnsi="Cambria" w:eastAsia="宋体"/>
      <w:b/>
      <w:bCs/>
      <w:spacing w:val="0"/>
      <w:kern w:val="28"/>
      <w:lang w:bidi="ar-SA"/>
    </w:rPr>
  </w:style>
  <w:style w:type="paragraph" w:styleId="7">
    <w:name w:val="Normal (Web)"/>
    <w:basedOn w:val="1"/>
    <w:unhideWhenUsed/>
    <w:qFormat/>
    <w:uiPriority w:val="0"/>
    <w:pPr>
      <w:widowControl/>
      <w:spacing w:before="100" w:beforeAutospacing="1" w:after="100" w:afterAutospacing="1" w:line="240" w:lineRule="auto"/>
      <w:jc w:val="left"/>
    </w:pPr>
    <w:rPr>
      <w:rFonts w:ascii="宋体" w:hAnsi="宋体" w:eastAsia="宋体" w:cs="宋体"/>
      <w:spacing w:val="0"/>
      <w:kern w:val="0"/>
      <w:sz w:val="24"/>
      <w:szCs w:val="24"/>
      <w:lang w:bidi="ar-SA"/>
    </w:rPr>
  </w:style>
  <w:style w:type="character" w:styleId="10">
    <w:name w:val="page number"/>
    <w:basedOn w:val="9"/>
    <w:qFormat/>
    <w:uiPriority w:val="0"/>
  </w:style>
  <w:style w:type="character" w:styleId="11">
    <w:name w:val="FollowedHyperlink"/>
    <w:qFormat/>
    <w:uiPriority w:val="0"/>
    <w:rPr>
      <w:color w:val="800080"/>
      <w:u w:val="single"/>
    </w:rPr>
  </w:style>
  <w:style w:type="character" w:styleId="12">
    <w:name w:val="line number"/>
    <w:basedOn w:val="9"/>
    <w:qFormat/>
    <w:uiPriority w:val="0"/>
  </w:style>
  <w:style w:type="character" w:styleId="13">
    <w:name w:val="Hyperlink"/>
    <w:unhideWhenUsed/>
    <w:qFormat/>
    <w:uiPriority w:val="0"/>
    <w:rPr>
      <w:color w:val="0000FF"/>
      <w:u w:val="single"/>
    </w:rPr>
  </w:style>
  <w:style w:type="character" w:customStyle="1" w:styleId="14">
    <w:name w:val="批注框文本 Char"/>
    <w:link w:val="3"/>
    <w:semiHidden/>
    <w:qFormat/>
    <w:uiPriority w:val="99"/>
    <w:rPr>
      <w:rFonts w:eastAsia="仿宋_GB2312"/>
      <w:spacing w:val="-6"/>
      <w:kern w:val="2"/>
      <w:sz w:val="18"/>
      <w:szCs w:val="18"/>
      <w:lang w:bidi="he-IL"/>
    </w:rPr>
  </w:style>
  <w:style w:type="character" w:customStyle="1" w:styleId="15">
    <w:name w:val="z-窗体底端 Char"/>
    <w:link w:val="16"/>
    <w:qFormat/>
    <w:uiPriority w:val="0"/>
    <w:rPr>
      <w:rFonts w:ascii="Arial" w:hAnsi="Arial" w:cs="Arial"/>
      <w:vanish/>
      <w:sz w:val="16"/>
      <w:szCs w:val="16"/>
    </w:rPr>
  </w:style>
  <w:style w:type="paragraph" w:customStyle="1" w:styleId="16">
    <w:name w:val="_Style 15"/>
    <w:basedOn w:val="1"/>
    <w:next w:val="1"/>
    <w:link w:val="15"/>
    <w:unhideWhenUsed/>
    <w:qFormat/>
    <w:uiPriority w:val="0"/>
    <w:pPr>
      <w:widowControl/>
      <w:pBdr>
        <w:top w:val="single" w:color="auto" w:sz="6" w:space="1"/>
      </w:pBdr>
      <w:spacing w:line="240" w:lineRule="auto"/>
      <w:jc w:val="center"/>
    </w:pPr>
    <w:rPr>
      <w:rFonts w:ascii="Arial" w:hAnsi="Arial" w:eastAsia="宋体"/>
      <w:vanish/>
      <w:spacing w:val="0"/>
      <w:kern w:val="0"/>
      <w:sz w:val="16"/>
      <w:szCs w:val="16"/>
      <w:lang w:bidi="ar-SA"/>
    </w:rPr>
  </w:style>
  <w:style w:type="character" w:customStyle="1" w:styleId="17">
    <w:name w:val="日期 Char"/>
    <w:link w:val="2"/>
    <w:semiHidden/>
    <w:qFormat/>
    <w:uiPriority w:val="99"/>
    <w:rPr>
      <w:rFonts w:eastAsia="仿宋_GB2312"/>
      <w:spacing w:val="-6"/>
      <w:kern w:val="2"/>
      <w:sz w:val="32"/>
      <w:szCs w:val="32"/>
      <w:lang w:bidi="he-IL"/>
    </w:rPr>
  </w:style>
  <w:style w:type="character" w:customStyle="1" w:styleId="18">
    <w:name w:val="副标题 Char"/>
    <w:link w:val="6"/>
    <w:qFormat/>
    <w:uiPriority w:val="0"/>
    <w:rPr>
      <w:rFonts w:ascii="Cambria" w:hAnsi="Cambria"/>
      <w:b/>
      <w:bCs/>
      <w:kern w:val="28"/>
      <w:sz w:val="32"/>
      <w:szCs w:val="32"/>
    </w:rPr>
  </w:style>
  <w:style w:type="paragraph" w:customStyle="1" w:styleId="19">
    <w:name w:val="xl12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仿宋_GB2312" w:hAnsi="宋体" w:cs="宋体"/>
      <w:spacing w:val="0"/>
      <w:kern w:val="0"/>
      <w:sz w:val="28"/>
      <w:szCs w:val="28"/>
      <w:lang w:bidi="ar-SA"/>
    </w:rPr>
  </w:style>
  <w:style w:type="paragraph" w:customStyle="1" w:styleId="20">
    <w:name w:val="xl12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仿宋_GB2312" w:hAnsi="宋体" w:cs="宋体"/>
      <w:spacing w:val="0"/>
      <w:kern w:val="0"/>
      <w:sz w:val="24"/>
      <w:szCs w:val="24"/>
      <w:lang w:bidi="ar-SA"/>
    </w:rPr>
  </w:style>
  <w:style w:type="paragraph" w:customStyle="1" w:styleId="21">
    <w:name w:val="xl8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仿宋_GB2312" w:hAnsi="宋体" w:cs="宋体"/>
      <w:spacing w:val="0"/>
      <w:kern w:val="0"/>
      <w:sz w:val="24"/>
      <w:szCs w:val="24"/>
      <w:lang w:bidi="ar-SA"/>
    </w:rPr>
  </w:style>
  <w:style w:type="paragraph" w:customStyle="1" w:styleId="22">
    <w:name w:val="xl1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仿宋_GB2312" w:hAnsi="宋体" w:cs="宋体"/>
      <w:spacing w:val="0"/>
      <w:kern w:val="0"/>
      <w:sz w:val="24"/>
      <w:szCs w:val="24"/>
      <w:lang w:bidi="ar-SA"/>
    </w:rPr>
  </w:style>
  <w:style w:type="paragraph" w:customStyle="1" w:styleId="23">
    <w:name w:val="xl8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仿宋_GB2312" w:hAnsi="宋体" w:cs="宋体"/>
      <w:spacing w:val="0"/>
      <w:kern w:val="0"/>
      <w:sz w:val="24"/>
      <w:szCs w:val="24"/>
      <w:lang w:bidi="ar-SA"/>
    </w:rPr>
  </w:style>
  <w:style w:type="paragraph" w:customStyle="1" w:styleId="24">
    <w:name w:val="xl1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仿宋_GB2312" w:hAnsi="宋体" w:cs="宋体"/>
      <w:spacing w:val="0"/>
      <w:kern w:val="0"/>
      <w:sz w:val="28"/>
      <w:szCs w:val="28"/>
      <w:lang w:bidi="ar-SA"/>
    </w:rPr>
  </w:style>
  <w:style w:type="paragraph" w:customStyle="1" w:styleId="25">
    <w:name w:val="xl8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仿宋_GB2312" w:hAnsi="宋体" w:cs="宋体"/>
      <w:spacing w:val="0"/>
      <w:kern w:val="0"/>
      <w:sz w:val="28"/>
      <w:szCs w:val="28"/>
      <w:lang w:bidi="ar-SA"/>
    </w:rPr>
  </w:style>
  <w:style w:type="paragraph" w:customStyle="1" w:styleId="26">
    <w:name w:val="xl91"/>
    <w:basedOn w:val="1"/>
    <w:qFormat/>
    <w:uiPriority w:val="0"/>
    <w:pPr>
      <w:widowControl/>
      <w:shd w:val="clear" w:color="auto" w:fill="FFFFFF"/>
      <w:spacing w:before="100" w:beforeAutospacing="1" w:after="100" w:afterAutospacing="1" w:line="240" w:lineRule="auto"/>
      <w:jc w:val="center"/>
    </w:pPr>
    <w:rPr>
      <w:rFonts w:ascii="仿宋_GB2312" w:hAnsi="宋体" w:cs="宋体"/>
      <w:spacing w:val="0"/>
      <w:kern w:val="0"/>
      <w:sz w:val="28"/>
      <w:szCs w:val="28"/>
      <w:lang w:bidi="ar-SA"/>
    </w:rPr>
  </w:style>
  <w:style w:type="paragraph" w:customStyle="1" w:styleId="27">
    <w:name w:val="xl92"/>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line="240" w:lineRule="auto"/>
      <w:jc w:val="center"/>
    </w:pPr>
    <w:rPr>
      <w:rFonts w:ascii="仿宋_GB2312" w:hAnsi="宋体" w:cs="宋体"/>
      <w:spacing w:val="0"/>
      <w:kern w:val="0"/>
      <w:sz w:val="28"/>
      <w:szCs w:val="28"/>
      <w:lang w:bidi="ar-SA"/>
    </w:rPr>
  </w:style>
  <w:style w:type="paragraph" w:customStyle="1" w:styleId="28">
    <w:name w:val="xl8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仿宋_GB2312" w:hAnsi="宋体" w:cs="宋体"/>
      <w:spacing w:val="0"/>
      <w:kern w:val="0"/>
      <w:sz w:val="28"/>
      <w:szCs w:val="28"/>
      <w:lang w:bidi="ar-SA"/>
    </w:rPr>
  </w:style>
  <w:style w:type="paragraph" w:customStyle="1" w:styleId="29">
    <w:name w:val="font5"/>
    <w:basedOn w:val="1"/>
    <w:qFormat/>
    <w:uiPriority w:val="0"/>
    <w:pPr>
      <w:widowControl/>
      <w:spacing w:before="100" w:beforeAutospacing="1" w:after="100" w:afterAutospacing="1" w:line="240" w:lineRule="auto"/>
      <w:jc w:val="left"/>
    </w:pPr>
    <w:rPr>
      <w:rFonts w:ascii="宋体" w:hAnsi="宋体" w:eastAsia="宋体" w:cs="宋体"/>
      <w:spacing w:val="0"/>
      <w:kern w:val="0"/>
      <w:sz w:val="18"/>
      <w:szCs w:val="18"/>
      <w:lang w:bidi="ar-SA"/>
    </w:rPr>
  </w:style>
  <w:style w:type="paragraph" w:customStyle="1" w:styleId="30">
    <w:name w:val="xl90"/>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line="240" w:lineRule="auto"/>
      <w:jc w:val="center"/>
    </w:pPr>
    <w:rPr>
      <w:rFonts w:ascii="仿宋_GB2312" w:hAnsi="宋体" w:cs="宋体"/>
      <w:spacing w:val="0"/>
      <w:kern w:val="0"/>
      <w:sz w:val="28"/>
      <w:szCs w:val="28"/>
      <w:lang w:bidi="ar-SA"/>
    </w:rPr>
  </w:style>
  <w:style w:type="paragraph" w:customStyle="1" w:styleId="31">
    <w:name w:val="xl85"/>
    <w:basedOn w:val="1"/>
    <w:qFormat/>
    <w:uiPriority w:val="0"/>
    <w:pPr>
      <w:widowControl/>
      <w:spacing w:before="100" w:beforeAutospacing="1" w:after="100" w:afterAutospacing="1" w:line="240" w:lineRule="auto"/>
      <w:jc w:val="center"/>
    </w:pPr>
    <w:rPr>
      <w:rFonts w:ascii="仿宋_GB2312" w:hAnsi="宋体" w:cs="宋体"/>
      <w:spacing w:val="0"/>
      <w:kern w:val="0"/>
      <w:sz w:val="28"/>
      <w:szCs w:val="28"/>
      <w:lang w:bidi="ar-SA"/>
    </w:rPr>
  </w:style>
  <w:style w:type="paragraph" w:customStyle="1" w:styleId="32">
    <w:name w:val="xl1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仿宋_GB2312" w:hAnsi="宋体" w:cs="宋体"/>
      <w:spacing w:val="0"/>
      <w:kern w:val="0"/>
      <w:sz w:val="28"/>
      <w:szCs w:val="28"/>
      <w:lang w:bidi="ar-SA"/>
    </w:rPr>
  </w:style>
  <w:style w:type="paragraph" w:customStyle="1" w:styleId="33">
    <w:name w:val="xl12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仿宋_GB2312" w:hAnsi="宋体" w:cs="宋体"/>
      <w:spacing w:val="0"/>
      <w:kern w:val="0"/>
      <w:sz w:val="28"/>
      <w:szCs w:val="28"/>
      <w:lang w:bidi="ar-SA"/>
    </w:rPr>
  </w:style>
  <w:style w:type="paragraph" w:customStyle="1" w:styleId="34">
    <w:name w:val="xl8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仿宋_GB2312" w:hAnsi="宋体" w:cs="宋体"/>
      <w:spacing w:val="0"/>
      <w:kern w:val="0"/>
      <w:sz w:val="28"/>
      <w:szCs w:val="28"/>
      <w:lang w:bidi="ar-SA"/>
    </w:rPr>
  </w:style>
  <w:style w:type="paragraph" w:customStyle="1" w:styleId="35">
    <w:name w:val="xl8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仿宋_GB2312" w:hAnsi="宋体" w:cs="宋体"/>
      <w:spacing w:val="0"/>
      <w:kern w:val="0"/>
      <w:sz w:val="28"/>
      <w:szCs w:val="28"/>
      <w:lang w:bidi="ar-SA"/>
    </w:rPr>
  </w:style>
  <w:style w:type="paragraph" w:customStyle="1" w:styleId="36">
    <w:name w:val="xl89"/>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line="240" w:lineRule="auto"/>
      <w:jc w:val="center"/>
    </w:pPr>
    <w:rPr>
      <w:rFonts w:ascii="仿宋_GB2312" w:hAnsi="宋体" w:cs="宋体"/>
      <w:spacing w:val="0"/>
      <w:kern w:val="0"/>
      <w:sz w:val="28"/>
      <w:szCs w:val="28"/>
      <w:lang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5</Pages>
  <Words>2187</Words>
  <Characters>2228</Characters>
  <Lines>23</Lines>
  <Paragraphs>6</Paragraphs>
  <TotalTime>19</TotalTime>
  <ScaleCrop>false</ScaleCrop>
  <LinksUpToDate>false</LinksUpToDate>
  <CharactersWithSpaces>2283</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2018-01-14T03:39:00Z</dcterms:created>
  <dc:creator>kampfer</dc:creator>
  <cp:lastModifiedBy>Administrator</cp:lastModifiedBy>
  <cp:lastPrinted>2025-02-19T02:43:00Z</cp:lastPrinted>
  <dcterms:modified xsi:type="dcterms:W3CDTF">2025-04-23T02:34:15Z</dcterms:modified>
  <dc:title> </dc:title>
  <cp:revision>21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269158EBDD014EC38763BDC7C83F561C_13</vt:lpwstr>
  </property>
  <property fmtid="{D5CDD505-2E9C-101B-9397-08002B2CF9AE}" pid="4" name="KSOTemplateDocerSaveRecord">
    <vt:lpwstr>eyJoZGlkIjoiNjQ3ZmQwNmRkODZmYTJkOWE4MjM5ZTUwNDc2N2U1NzQifQ==</vt:lpwstr>
  </property>
</Properties>
</file>