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6CA6E">
      <w:pPr>
        <w:jc w:val="center"/>
        <w:rPr>
          <w:rFonts w:ascii="仿宋_GB2312" w:hAnsi="宋体"/>
          <w:b/>
          <w:bCs/>
          <w:sz w:val="44"/>
          <w:szCs w:val="44"/>
        </w:rPr>
      </w:pPr>
      <w:r>
        <w:rPr>
          <w:rFonts w:hint="eastAsia" w:ascii="华文中宋" w:hAnsi="华文中宋" w:eastAsia="华文中宋" w:cs="华文中宋"/>
          <w:b/>
          <w:bCs/>
          <w:sz w:val="44"/>
          <w:szCs w:val="44"/>
        </w:rPr>
        <w:t>韶关市</w:t>
      </w:r>
      <w:r>
        <w:rPr>
          <w:rFonts w:hint="eastAsia" w:ascii="华文中宋" w:hAnsi="华文中宋" w:eastAsia="华文中宋" w:cs="华文中宋"/>
          <w:b/>
          <w:bCs/>
          <w:sz w:val="44"/>
          <w:szCs w:val="44"/>
          <w:lang w:val="en-US" w:eastAsia="zh-CN"/>
        </w:rPr>
        <w:t>市政</w:t>
      </w:r>
      <w:r>
        <w:rPr>
          <w:rFonts w:hint="eastAsia" w:ascii="华文中宋" w:hAnsi="华文中宋" w:eastAsia="华文中宋" w:cs="华文中宋"/>
          <w:b/>
          <w:bCs/>
          <w:sz w:val="44"/>
          <w:szCs w:val="44"/>
        </w:rPr>
        <w:t>工程</w:t>
      </w:r>
      <w:r>
        <w:rPr>
          <w:rFonts w:hint="eastAsia" w:ascii="华文中宋" w:hAnsi="华文中宋" w:eastAsia="华文中宋" w:cs="华文中宋"/>
          <w:b/>
          <w:bCs/>
          <w:sz w:val="44"/>
          <w:szCs w:val="44"/>
          <w:lang w:val="en-US" w:eastAsia="zh-CN"/>
        </w:rPr>
        <w:t>施工质量评价</w:t>
      </w:r>
      <w:r>
        <w:rPr>
          <w:rFonts w:hint="eastAsia" w:ascii="华文中宋" w:hAnsi="华文中宋" w:eastAsia="华文中宋" w:cs="华文中宋"/>
          <w:b/>
          <w:bCs/>
          <w:sz w:val="44"/>
          <w:szCs w:val="44"/>
        </w:rPr>
        <w:t>办法</w:t>
      </w:r>
    </w:p>
    <w:p w14:paraId="50A531E2">
      <w:pPr>
        <w:spacing w:afterLines="50"/>
        <w:jc w:val="center"/>
        <w:rPr>
          <w:rFonts w:hint="eastAsia" w:ascii="华文中宋" w:hAnsi="华文中宋" w:eastAsia="华文中宋" w:cs="华文中宋"/>
          <w:b w:val="0"/>
          <w:bCs w:val="0"/>
          <w:sz w:val="30"/>
          <w:szCs w:val="30"/>
        </w:rPr>
      </w:pPr>
      <w:r>
        <w:rPr>
          <w:rFonts w:hint="eastAsia" w:ascii="华文中宋" w:hAnsi="华文中宋" w:eastAsia="华文中宋" w:cs="华文中宋"/>
          <w:b w:val="0"/>
          <w:bCs w:val="0"/>
          <w:sz w:val="30"/>
          <w:szCs w:val="30"/>
        </w:rPr>
        <w:t>（</w:t>
      </w:r>
      <w:r>
        <w:rPr>
          <w:rFonts w:hint="eastAsia" w:ascii="华文中宋" w:hAnsi="华文中宋" w:eastAsia="华文中宋" w:cs="华文中宋"/>
          <w:b w:val="0"/>
          <w:bCs w:val="0"/>
          <w:sz w:val="30"/>
          <w:szCs w:val="30"/>
          <w:lang w:val="en-US" w:eastAsia="zh-CN"/>
        </w:rPr>
        <w:t>试 行</w:t>
      </w:r>
      <w:r>
        <w:rPr>
          <w:rFonts w:hint="eastAsia" w:ascii="华文中宋" w:hAnsi="华文中宋" w:eastAsia="华文中宋" w:cs="华文中宋"/>
          <w:b w:val="0"/>
          <w:bCs w:val="0"/>
          <w:sz w:val="30"/>
          <w:szCs w:val="30"/>
        </w:rPr>
        <w:t>）</w:t>
      </w:r>
    </w:p>
    <w:p w14:paraId="6C406081">
      <w:pPr>
        <w:keepNext w:val="0"/>
        <w:keepLines w:val="0"/>
        <w:pageBreakBefore w:val="0"/>
        <w:widowControl w:val="0"/>
        <w:kinsoku/>
        <w:wordWrap/>
        <w:overflowPunct/>
        <w:topLinePunct w:val="0"/>
        <w:autoSpaceDE/>
        <w:autoSpaceDN/>
        <w:bidi w:val="0"/>
        <w:snapToGrid w:val="0"/>
        <w:spacing w:afterLines="50" w:line="640" w:lineRule="exact"/>
        <w:ind w:right="0" w:rightChars="0"/>
        <w:contextualSpacing/>
        <w:jc w:val="center"/>
        <w:textAlignment w:val="auto"/>
        <w:outlineLvl w:val="9"/>
        <w:rPr>
          <w:rFonts w:ascii="仿宋_GB2312" w:hAnsi="黑体"/>
          <w:b/>
          <w:bCs/>
        </w:rPr>
      </w:pPr>
      <w:r>
        <w:rPr>
          <w:rFonts w:hint="eastAsia" w:ascii="仿宋_GB2312" w:hAnsi="黑体"/>
          <w:b/>
          <w:bCs/>
        </w:rPr>
        <w:t>第一章   总   则</w:t>
      </w:r>
    </w:p>
    <w:p w14:paraId="7FFE81E0">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第一条</w:t>
      </w:r>
      <w:r>
        <w:rPr>
          <w:rFonts w:hint="eastAsia" w:ascii="仿宋_GB2312"/>
        </w:rPr>
        <w:t xml:space="preserve">  为贯彻“百年大计，质量第一”的方针，落实国家《建设工程质量管理条例》，建立建设工程质量创优激励机制，鼓励建筑施工企业采用先进科学技术和管理方法，加强项目管理，颂扬工匠精神，进一步提高我市</w:t>
      </w:r>
      <w:r>
        <w:rPr>
          <w:rFonts w:hint="eastAsia" w:ascii="仿宋_GB2312"/>
          <w:lang w:val="en-US" w:eastAsia="zh-CN"/>
        </w:rPr>
        <w:t>市政</w:t>
      </w:r>
      <w:r>
        <w:rPr>
          <w:rFonts w:hint="eastAsia" w:ascii="仿宋_GB2312"/>
        </w:rPr>
        <w:t>工程</w:t>
      </w:r>
      <w:r>
        <w:rPr>
          <w:rFonts w:hint="eastAsia" w:ascii="仿宋_GB2312"/>
          <w:lang w:eastAsia="zh-CN"/>
        </w:rPr>
        <w:t>施工质量</w:t>
      </w:r>
      <w:r>
        <w:rPr>
          <w:rFonts w:hint="eastAsia" w:ascii="仿宋_GB2312"/>
        </w:rPr>
        <w:t>，制定本办法。</w:t>
      </w:r>
    </w:p>
    <w:p w14:paraId="5FADB5EE">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 xml:space="preserve">第二条 </w:t>
      </w:r>
      <w:r>
        <w:rPr>
          <w:rFonts w:hint="eastAsia" w:ascii="仿宋_GB2312"/>
        </w:rPr>
        <w:t xml:space="preserve"> 韶关市</w:t>
      </w:r>
      <w:r>
        <w:rPr>
          <w:rFonts w:hint="eastAsia" w:ascii="仿宋_GB2312"/>
          <w:lang w:val="en-US" w:eastAsia="zh-CN"/>
        </w:rPr>
        <w:t>市政</w:t>
      </w:r>
      <w:r>
        <w:rPr>
          <w:rFonts w:hint="eastAsia" w:ascii="仿宋_GB2312"/>
        </w:rPr>
        <w:t>工程</w:t>
      </w:r>
      <w:r>
        <w:rPr>
          <w:rFonts w:hint="eastAsia" w:ascii="仿宋_GB2312"/>
          <w:lang w:eastAsia="zh-CN"/>
        </w:rPr>
        <w:t>施工质量评价</w:t>
      </w:r>
      <w:r>
        <w:rPr>
          <w:rFonts w:hint="eastAsia" w:ascii="仿宋_GB2312"/>
        </w:rPr>
        <w:t>（以下简称市</w:t>
      </w:r>
      <w:r>
        <w:rPr>
          <w:rFonts w:hint="eastAsia" w:ascii="仿宋_GB2312"/>
          <w:lang w:val="en-US" w:eastAsia="zh-CN"/>
        </w:rPr>
        <w:t>市政工程</w:t>
      </w:r>
      <w:r>
        <w:rPr>
          <w:rFonts w:hint="eastAsia" w:ascii="仿宋_GB2312"/>
          <w:lang w:eastAsia="zh-CN"/>
        </w:rPr>
        <w:t>施工质量评价</w:t>
      </w:r>
      <w:r>
        <w:rPr>
          <w:rFonts w:hint="eastAsia" w:ascii="仿宋_GB2312"/>
        </w:rPr>
        <w:t>）由韶关市建筑协会组织实施，每年评</w:t>
      </w:r>
      <w:r>
        <w:rPr>
          <w:rFonts w:hint="eastAsia" w:ascii="仿宋_GB2312"/>
          <w:lang w:val="en-US" w:eastAsia="zh-CN"/>
        </w:rPr>
        <w:t>价</w:t>
      </w:r>
      <w:r>
        <w:rPr>
          <w:rFonts w:hint="eastAsia" w:ascii="仿宋_GB2312"/>
        </w:rPr>
        <w:t>一次。评</w:t>
      </w:r>
      <w:r>
        <w:rPr>
          <w:rFonts w:hint="eastAsia" w:ascii="仿宋_GB2312"/>
          <w:lang w:val="en-US" w:eastAsia="zh-CN"/>
        </w:rPr>
        <w:t>价</w:t>
      </w:r>
      <w:r>
        <w:rPr>
          <w:rFonts w:hint="eastAsia" w:ascii="仿宋_GB2312"/>
        </w:rPr>
        <w:t>活动接受市住房和城乡建设管理局的业务</w:t>
      </w:r>
      <w:r>
        <w:rPr>
          <w:rFonts w:hint="eastAsia" w:ascii="仿宋_GB2312"/>
          <w:lang w:val="en-US" w:eastAsia="zh-CN"/>
        </w:rPr>
        <w:t>监督和</w:t>
      </w:r>
      <w:r>
        <w:rPr>
          <w:rFonts w:hint="eastAsia" w:ascii="仿宋_GB2312"/>
        </w:rPr>
        <w:t>指导</w:t>
      </w:r>
      <w:r>
        <w:rPr>
          <w:rFonts w:hint="eastAsia" w:ascii="仿宋_GB2312"/>
          <w:lang w:eastAsia="zh-CN"/>
        </w:rPr>
        <w:t>，</w:t>
      </w:r>
      <w:r>
        <w:rPr>
          <w:rFonts w:hint="eastAsia" w:ascii="仿宋_GB2312"/>
        </w:rPr>
        <w:t>评</w:t>
      </w:r>
      <w:r>
        <w:rPr>
          <w:rFonts w:hint="eastAsia" w:ascii="仿宋_GB2312"/>
          <w:lang w:val="en-US" w:eastAsia="zh-CN"/>
        </w:rPr>
        <w:t>价</w:t>
      </w:r>
      <w:r>
        <w:rPr>
          <w:rFonts w:hint="eastAsia" w:ascii="仿宋_GB2312"/>
        </w:rPr>
        <w:t>结果报市住房和城乡建设管理局备案。</w:t>
      </w:r>
    </w:p>
    <w:p w14:paraId="3CD95C15">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hint="eastAsia" w:ascii="仿宋_GB2312"/>
          <w:lang w:val="en-US" w:eastAsia="zh-CN"/>
        </w:rPr>
      </w:pPr>
      <w:r>
        <w:rPr>
          <w:rFonts w:hint="eastAsia" w:ascii="仿宋_GB2312"/>
          <w:b/>
          <w:bCs/>
        </w:rPr>
        <w:t>第三条</w:t>
      </w:r>
      <w:r>
        <w:rPr>
          <w:rFonts w:hint="eastAsia" w:ascii="仿宋_GB2312"/>
        </w:rPr>
        <w:t xml:space="preserve">  市</w:t>
      </w:r>
      <w:r>
        <w:rPr>
          <w:rFonts w:hint="eastAsia" w:ascii="仿宋_GB2312"/>
          <w:lang w:val="en-US" w:eastAsia="zh-CN"/>
        </w:rPr>
        <w:t>市政工程施工质量评价</w:t>
      </w:r>
      <w:r>
        <w:rPr>
          <w:rFonts w:hint="eastAsia" w:ascii="仿宋_GB2312"/>
        </w:rPr>
        <w:t>工程的评选对象为我国建筑施工企业在韶关市</w:t>
      </w:r>
      <w:r>
        <w:rPr>
          <w:rFonts w:hint="eastAsia" w:ascii="仿宋_GB2312"/>
          <w:lang w:val="en-US" w:eastAsia="zh-CN"/>
        </w:rPr>
        <w:t>行政区域内</w:t>
      </w:r>
      <w:r>
        <w:rPr>
          <w:rFonts w:hint="eastAsia" w:ascii="仿宋_GB2312"/>
        </w:rPr>
        <w:t>承包施工的，</w:t>
      </w:r>
      <w:r>
        <w:rPr>
          <w:rFonts w:hint="eastAsia" w:ascii="仿宋_GB2312"/>
          <w:lang w:val="en-US" w:eastAsia="zh-CN"/>
        </w:rPr>
        <w:t>是指已经竣工验收并经过一个冬、雨季使用， 质量优良，工艺、技术先进，具有专业代表性和示范作用的工程。</w:t>
      </w:r>
    </w:p>
    <w:p w14:paraId="1D053CDB">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 xml:space="preserve">第四条  </w:t>
      </w:r>
      <w:r>
        <w:rPr>
          <w:rFonts w:hint="eastAsia" w:ascii="仿宋_GB2312"/>
        </w:rPr>
        <w:t>市</w:t>
      </w:r>
      <w:r>
        <w:rPr>
          <w:rFonts w:hint="eastAsia" w:ascii="仿宋_GB2312"/>
          <w:lang w:val="en-US" w:eastAsia="zh-CN"/>
        </w:rPr>
        <w:t>市政工程施工质量评价</w:t>
      </w:r>
      <w:r>
        <w:rPr>
          <w:rFonts w:hint="eastAsia" w:ascii="仿宋_GB2312"/>
        </w:rPr>
        <w:t>工程由施工企业自愿申报，经工程所在地县（市）建筑业协会推荐，由市建筑协会组织专家进行评</w:t>
      </w:r>
      <w:r>
        <w:rPr>
          <w:rFonts w:hint="eastAsia" w:ascii="仿宋_GB2312"/>
          <w:lang w:val="en-US" w:eastAsia="zh-CN"/>
        </w:rPr>
        <w:t>价</w:t>
      </w:r>
      <w:r>
        <w:rPr>
          <w:rFonts w:hint="eastAsia" w:ascii="仿宋_GB2312"/>
        </w:rPr>
        <w:t>。评</w:t>
      </w:r>
      <w:r>
        <w:rPr>
          <w:rFonts w:hint="eastAsia" w:ascii="仿宋_GB2312"/>
          <w:lang w:val="en-US" w:eastAsia="zh-CN"/>
        </w:rPr>
        <w:t>价</w:t>
      </w:r>
      <w:r>
        <w:rPr>
          <w:rFonts w:hint="eastAsia" w:ascii="仿宋_GB2312"/>
        </w:rPr>
        <w:t>工作以《中华人民共和国建筑法》以及国家和省、市有关建设工程质量的法律、法规、强制性技术标准、行业技术标准为评选依据，以“公平、公正、客观”为原则，对工程竣工资料和实体工程质量进行综合评</w:t>
      </w:r>
      <w:r>
        <w:rPr>
          <w:rFonts w:hint="eastAsia" w:ascii="仿宋_GB2312"/>
          <w:lang w:val="en-US" w:eastAsia="zh-CN"/>
        </w:rPr>
        <w:t>价</w:t>
      </w:r>
      <w:r>
        <w:rPr>
          <w:rFonts w:hint="eastAsia" w:ascii="仿宋_GB2312"/>
        </w:rPr>
        <w:t>。</w:t>
      </w:r>
    </w:p>
    <w:p w14:paraId="1CEFAE6D">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ascii="仿宋_GB2312"/>
          <w:b/>
          <w:bCs/>
        </w:rPr>
      </w:pPr>
    </w:p>
    <w:p w14:paraId="1C8D10E8">
      <w:pPr>
        <w:keepNext w:val="0"/>
        <w:keepLines w:val="0"/>
        <w:pageBreakBefore w:val="0"/>
        <w:widowControl w:val="0"/>
        <w:kinsoku/>
        <w:wordWrap/>
        <w:overflowPunct/>
        <w:topLinePunct w:val="0"/>
        <w:autoSpaceDE/>
        <w:autoSpaceDN/>
        <w:bidi w:val="0"/>
        <w:snapToGrid w:val="0"/>
        <w:spacing w:afterLines="100" w:line="640" w:lineRule="exact"/>
        <w:ind w:right="0" w:rightChars="0"/>
        <w:contextualSpacing/>
        <w:jc w:val="center"/>
        <w:textAlignment w:val="auto"/>
        <w:outlineLvl w:val="9"/>
        <w:rPr>
          <w:rFonts w:ascii="仿宋_GB2312" w:hAnsi="黑体"/>
          <w:b/>
          <w:bCs/>
        </w:rPr>
      </w:pPr>
      <w:r>
        <w:rPr>
          <w:rFonts w:hint="eastAsia" w:ascii="仿宋_GB2312" w:hAnsi="黑体"/>
          <w:b/>
          <w:bCs/>
        </w:rPr>
        <w:t>第二章   申报评</w:t>
      </w:r>
      <w:r>
        <w:rPr>
          <w:rFonts w:hint="eastAsia" w:ascii="仿宋_GB2312" w:hAnsi="黑体"/>
          <w:b/>
          <w:bCs/>
          <w:lang w:val="en-US" w:eastAsia="zh-CN"/>
        </w:rPr>
        <w:t>价</w:t>
      </w:r>
      <w:r>
        <w:rPr>
          <w:rFonts w:hint="eastAsia" w:ascii="仿宋_GB2312" w:hAnsi="黑体"/>
          <w:b/>
          <w:bCs/>
        </w:rPr>
        <w:t>工程规模</w:t>
      </w:r>
    </w:p>
    <w:p w14:paraId="7C58848F">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第五条</w:t>
      </w:r>
      <w:r>
        <w:rPr>
          <w:rFonts w:hint="eastAsia" w:ascii="仿宋_GB2312"/>
        </w:rPr>
        <w:t xml:space="preserve">  在本市行政区域内，符合下列规定范围要求的工程，均可参与申报评</w:t>
      </w:r>
      <w:r>
        <w:rPr>
          <w:rFonts w:hint="eastAsia" w:ascii="仿宋_GB2312"/>
          <w:lang w:val="en-US" w:eastAsia="zh-CN"/>
        </w:rPr>
        <w:t>价</w:t>
      </w:r>
      <w:r>
        <w:rPr>
          <w:rFonts w:hint="eastAsia" w:ascii="仿宋_GB2312"/>
        </w:rPr>
        <w:t>。</w:t>
      </w:r>
    </w:p>
    <w:p w14:paraId="4647A7DB">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市内城市规划区投资在</w:t>
      </w:r>
      <w:r>
        <w:rPr>
          <w:rFonts w:hint="eastAsia" w:ascii="仿宋_GB2312"/>
          <w:lang w:val="en-US" w:eastAsia="zh-CN"/>
        </w:rPr>
        <w:t>800</w:t>
      </w:r>
      <w:r>
        <w:rPr>
          <w:rFonts w:hint="eastAsia" w:ascii="仿宋_GB2312"/>
        </w:rPr>
        <w:t>万元以上的城市道路、桥梁、隧道、</w:t>
      </w:r>
      <w:r>
        <w:rPr>
          <w:rFonts w:hint="eastAsia" w:ascii="仿宋_GB2312"/>
          <w:lang w:eastAsia="zh-CN"/>
        </w:rPr>
        <w:t>园林绿化、</w:t>
      </w:r>
      <w:r>
        <w:rPr>
          <w:rFonts w:hint="eastAsia" w:ascii="仿宋_GB2312"/>
        </w:rPr>
        <w:t>污水处理厂、水厂、给水系统、排水系统，投资在</w:t>
      </w:r>
      <w:r>
        <w:rPr>
          <w:rFonts w:hint="eastAsia" w:ascii="仿宋_GB2312"/>
          <w:lang w:val="en-US" w:eastAsia="zh-CN"/>
        </w:rPr>
        <w:t>800</w:t>
      </w:r>
      <w:bookmarkStart w:id="0" w:name="_GoBack"/>
      <w:bookmarkEnd w:id="0"/>
      <w:r>
        <w:rPr>
          <w:rFonts w:hint="eastAsia" w:ascii="仿宋_GB2312"/>
        </w:rPr>
        <w:t>万元以上的防洪、垃圾处理厂（场）等市政基础设施工程。</w:t>
      </w:r>
    </w:p>
    <w:p w14:paraId="6BB514AD">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ascii="仿宋_GB2312"/>
          <w:b/>
          <w:bCs/>
        </w:rPr>
      </w:pPr>
    </w:p>
    <w:p w14:paraId="4DB45326">
      <w:pPr>
        <w:keepNext w:val="0"/>
        <w:keepLines w:val="0"/>
        <w:pageBreakBefore w:val="0"/>
        <w:widowControl w:val="0"/>
        <w:kinsoku/>
        <w:wordWrap/>
        <w:overflowPunct/>
        <w:topLinePunct w:val="0"/>
        <w:autoSpaceDE/>
        <w:autoSpaceDN/>
        <w:bidi w:val="0"/>
        <w:snapToGrid w:val="0"/>
        <w:spacing w:afterLines="50" w:line="640" w:lineRule="exact"/>
        <w:ind w:right="0" w:rightChars="0"/>
        <w:contextualSpacing/>
        <w:jc w:val="center"/>
        <w:textAlignment w:val="auto"/>
        <w:outlineLvl w:val="9"/>
        <w:rPr>
          <w:rFonts w:ascii="仿宋_GB2312" w:hAnsi="黑体"/>
          <w:b/>
          <w:bCs/>
        </w:rPr>
      </w:pPr>
      <w:r>
        <w:rPr>
          <w:rFonts w:hint="eastAsia" w:ascii="仿宋_GB2312" w:hAnsi="黑体"/>
          <w:b/>
          <w:bCs/>
        </w:rPr>
        <w:t>第三章   申报条件</w:t>
      </w:r>
    </w:p>
    <w:p w14:paraId="4E4D3967">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第六条</w:t>
      </w:r>
      <w:r>
        <w:rPr>
          <w:rFonts w:hint="eastAsia" w:ascii="仿宋_GB2312"/>
        </w:rPr>
        <w:t xml:space="preserve">  申报市</w:t>
      </w:r>
      <w:r>
        <w:rPr>
          <w:rFonts w:hint="eastAsia" w:ascii="仿宋_GB2312"/>
          <w:lang w:val="en-US" w:eastAsia="zh-CN"/>
        </w:rPr>
        <w:t>市政工程施工质量评价</w:t>
      </w:r>
      <w:r>
        <w:rPr>
          <w:rFonts w:hint="eastAsia" w:ascii="仿宋_GB2312"/>
        </w:rPr>
        <w:t>工程的项目应同时具备以下条件：</w:t>
      </w:r>
    </w:p>
    <w:p w14:paraId="367D82CE">
      <w:pPr>
        <w:keepNext w:val="0"/>
        <w:keepLines w:val="0"/>
        <w:pageBreakBefore w:val="0"/>
        <w:widowControl/>
        <w:suppressLineNumbers w:val="0"/>
        <w:kinsoku/>
        <w:wordWrap/>
        <w:overflowPunct/>
        <w:topLinePunct w:val="0"/>
        <w:autoSpaceDE/>
        <w:autoSpaceDN/>
        <w:bidi w:val="0"/>
        <w:adjustRightInd/>
        <w:snapToGrid/>
        <w:spacing w:line="640" w:lineRule="exact"/>
        <w:ind w:firstLine="616" w:firstLineChars="200"/>
        <w:jc w:val="left"/>
        <w:textAlignment w:val="auto"/>
        <w:rPr>
          <w:spacing w:val="0"/>
        </w:rPr>
      </w:pPr>
      <w:r>
        <w:rPr>
          <w:rFonts w:hint="eastAsia" w:ascii="仿宋_GB2312"/>
        </w:rPr>
        <w:t>（一）符合基本建设程序、</w:t>
      </w:r>
      <w:r>
        <w:rPr>
          <w:rFonts w:hint="eastAsia" w:ascii="仿宋_GB2312"/>
          <w:spacing w:val="0"/>
        </w:rPr>
        <w:t>工程建设强制性标准和有关节能、环境保护的规定。</w:t>
      </w:r>
      <w:r>
        <w:rPr>
          <w:rFonts w:hint="eastAsia" w:ascii="仿宋_GB2312"/>
          <w:lang w:val="en-US" w:eastAsia="zh-CN"/>
        </w:rPr>
        <w:t>申报项目的全部参建单位应具备现行法律法规及招标文件规定的资质。</w:t>
      </w:r>
      <w:r>
        <w:rPr>
          <w:rFonts w:ascii="仿宋" w:hAnsi="仿宋" w:eastAsia="仿宋" w:cs="仿宋"/>
          <w:b w:val="0"/>
          <w:bCs w:val="0"/>
          <w:color w:val="000000"/>
          <w:spacing w:val="0"/>
          <w:kern w:val="0"/>
          <w:sz w:val="31"/>
          <w:szCs w:val="31"/>
          <w:lang w:val="en-US" w:eastAsia="zh-CN" w:bidi="ar"/>
        </w:rPr>
        <w:t xml:space="preserve"> </w:t>
      </w:r>
    </w:p>
    <w:p w14:paraId="6E63C027">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val="en-US" w:eastAsia="zh-CN"/>
        </w:rPr>
      </w:pPr>
      <w:r>
        <w:rPr>
          <w:rFonts w:hint="eastAsia" w:ascii="仿宋_GB2312"/>
          <w:lang w:val="en-US" w:eastAsia="zh-CN"/>
        </w:rPr>
        <w:t>（二）项目已竣工验收，并提供竣工验收报告、勘察和设计单位的质量检查报告、监理单位的质量评估报告、监督机构的工程质量监督报告。</w:t>
      </w:r>
    </w:p>
    <w:p w14:paraId="071E61B1">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val="en-US" w:eastAsia="zh-CN"/>
        </w:rPr>
      </w:pPr>
      <w:r>
        <w:rPr>
          <w:rFonts w:hint="eastAsia" w:ascii="仿宋_GB2312"/>
          <w:lang w:val="en-US" w:eastAsia="zh-CN"/>
        </w:rPr>
        <w:t>（三）工程在上一年度12月31日前竣工验收，且年限不超过三年的均可申报。往年施工质量评价不通过的项目，不予受理。</w:t>
      </w:r>
    </w:p>
    <w:p w14:paraId="744C7BC1">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w:t>
      </w:r>
      <w:r>
        <w:rPr>
          <w:rFonts w:hint="eastAsia" w:ascii="仿宋_GB2312"/>
          <w:lang w:val="en-US" w:eastAsia="zh-CN"/>
        </w:rPr>
        <w:t>四</w:t>
      </w:r>
      <w:r>
        <w:rPr>
          <w:rFonts w:hint="eastAsia" w:ascii="仿宋_GB2312"/>
        </w:rPr>
        <w:t>）工程技术资料真实完整，符合《</w:t>
      </w:r>
      <w:r>
        <w:rPr>
          <w:rFonts w:hint="eastAsia" w:ascii="仿宋_GB2312"/>
          <w:lang w:val="en-US" w:eastAsia="zh-CN"/>
        </w:rPr>
        <w:t>广东省市政基础设施工程竣工验收技术资料统一用表》要求和城建档</w:t>
      </w:r>
      <w:r>
        <w:rPr>
          <w:rFonts w:hint="eastAsia" w:ascii="仿宋_GB2312"/>
        </w:rPr>
        <w:t>案要求，能反映工程施工质量控制过程。</w:t>
      </w:r>
    </w:p>
    <w:p w14:paraId="0BDC82DE">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第七条</w:t>
      </w:r>
      <w:r>
        <w:rPr>
          <w:rFonts w:hint="eastAsia" w:ascii="仿宋_GB2312"/>
        </w:rPr>
        <w:t xml:space="preserve">  申报市</w:t>
      </w:r>
      <w:r>
        <w:rPr>
          <w:rFonts w:hint="eastAsia" w:ascii="仿宋_GB2312"/>
          <w:lang w:val="en-US" w:eastAsia="zh-CN"/>
        </w:rPr>
        <w:t>市政工程</w:t>
      </w:r>
      <w:r>
        <w:rPr>
          <w:rFonts w:hint="eastAsia" w:ascii="仿宋_GB2312"/>
          <w:lang w:eastAsia="zh-CN"/>
        </w:rPr>
        <w:t>施工质量评价</w:t>
      </w:r>
      <w:r>
        <w:rPr>
          <w:rFonts w:hint="eastAsia" w:ascii="仿宋_GB2312"/>
        </w:rPr>
        <w:t>项目的承建、参建、监理单位及项目经理必须具备以下条件：</w:t>
      </w:r>
    </w:p>
    <w:p w14:paraId="38F7B4C4">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（一）承建、参建、监理单位分别为独立法人，项目经理和监理工程师分别为相应单位的注册建造师和注册监理工程师。</w:t>
      </w:r>
    </w:p>
    <w:p w14:paraId="2EC76E2D">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ascii="仿宋_GB2312"/>
        </w:rPr>
      </w:pPr>
      <w:r>
        <w:rPr>
          <w:rFonts w:hint="eastAsia" w:ascii="仿宋_GB2312"/>
        </w:rPr>
        <w:t>（二）承建单位是申报工程的总承包施工单位，或工程中标通知书列明的施工单位联合体；对于大型</w:t>
      </w:r>
      <w:r>
        <w:rPr>
          <w:rFonts w:hint="eastAsia" w:ascii="仿宋_GB2312"/>
          <w:lang w:val="en-US" w:eastAsia="zh-CN"/>
        </w:rPr>
        <w:t>市政</w:t>
      </w:r>
      <w:r>
        <w:rPr>
          <w:rFonts w:hint="eastAsia" w:ascii="仿宋_GB2312"/>
        </w:rPr>
        <w:t>项目，两家以上（含两家）企业分别与建设单位签订承包合同，并分别完成了20%（含）以上工作量的，可作为承建单位共同申报。</w:t>
      </w:r>
    </w:p>
    <w:p w14:paraId="17030003">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eastAsia" w:ascii="仿宋_GB2312"/>
        </w:rPr>
      </w:pPr>
      <w:r>
        <w:rPr>
          <w:rFonts w:hint="eastAsia" w:ascii="仿宋_GB2312"/>
        </w:rPr>
        <w:t>（三）参建单位是工程合法分包的单位，每个参建单位所完成施工部分的工作量必须达到申报项目工程量的</w:t>
      </w:r>
      <w:r>
        <w:rPr>
          <w:rFonts w:hint="eastAsia" w:ascii="仿宋_GB2312"/>
          <w:lang w:val="en-US" w:eastAsia="zh-CN"/>
        </w:rPr>
        <w:t>2</w:t>
      </w:r>
      <w:r>
        <w:rPr>
          <w:rFonts w:hint="eastAsia" w:ascii="仿宋_GB2312"/>
        </w:rPr>
        <w:t>0%（含）以上。</w:t>
      </w:r>
    </w:p>
    <w:p w14:paraId="6466CD63">
      <w:pPr>
        <w:keepNext w:val="0"/>
        <w:keepLines w:val="0"/>
        <w:pageBreakBefore w:val="0"/>
        <w:widowControl w:val="0"/>
        <w:kinsoku/>
        <w:wordWrap/>
        <w:overflowPunct/>
        <w:topLinePunct w:val="0"/>
        <w:autoSpaceDE/>
        <w:autoSpaceDN/>
        <w:bidi w:val="0"/>
        <w:snapToGrid w:val="0"/>
        <w:spacing w:line="640" w:lineRule="exact"/>
        <w:ind w:right="0" w:rightChars="0" w:firstLine="591" w:firstLineChars="192"/>
        <w:contextualSpacing/>
        <w:textAlignment w:val="auto"/>
        <w:outlineLvl w:val="9"/>
        <w:rPr>
          <w:rFonts w:hint="default" w:ascii="仿宋_GB2312" w:eastAsia="仿宋_GB2312"/>
          <w:lang w:val="en-US" w:eastAsia="zh-CN"/>
        </w:rPr>
      </w:pPr>
      <w:r>
        <w:rPr>
          <w:rFonts w:hint="eastAsia" w:ascii="仿宋_GB2312"/>
          <w:lang w:eastAsia="zh-CN"/>
        </w:rPr>
        <w:t>（</w:t>
      </w:r>
      <w:r>
        <w:rPr>
          <w:rFonts w:hint="eastAsia" w:ascii="仿宋_GB2312"/>
          <w:lang w:val="en-US" w:eastAsia="zh-CN"/>
        </w:rPr>
        <w:t>四）</w:t>
      </w:r>
      <w:r>
        <w:rPr>
          <w:rFonts w:hint="eastAsia" w:ascii="仿宋_GB2312"/>
        </w:rPr>
        <w:t>申报单位应制定达到</w:t>
      </w:r>
      <w:r>
        <w:rPr>
          <w:rFonts w:hint="eastAsia" w:ascii="仿宋_GB2312"/>
          <w:lang w:val="en-US" w:eastAsia="zh-CN"/>
        </w:rPr>
        <w:t>市</w:t>
      </w:r>
      <w:r>
        <w:rPr>
          <w:rFonts w:hint="eastAsia" w:ascii="仿宋_GB2312"/>
        </w:rPr>
        <w:t>市政</w:t>
      </w:r>
      <w:r>
        <w:rPr>
          <w:rFonts w:hint="eastAsia" w:ascii="仿宋_GB2312"/>
          <w:lang w:eastAsia="zh-CN"/>
        </w:rPr>
        <w:t>施工质量</w:t>
      </w:r>
      <w:r>
        <w:rPr>
          <w:rFonts w:hint="eastAsia" w:ascii="仿宋_GB2312"/>
        </w:rPr>
        <w:t>实施方案。项目应积极采用“四新”技术，践行绿色建造理念，开展 QC 小组、质量信得过班组、工法、新技术成果应用示范等活动。</w:t>
      </w:r>
    </w:p>
    <w:p w14:paraId="1D55F8AA">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第八条</w:t>
      </w:r>
      <w:r>
        <w:rPr>
          <w:rFonts w:hint="eastAsia" w:ascii="仿宋_GB2312"/>
        </w:rPr>
        <w:t xml:space="preserve">  有下列情形之一的工程不列入评</w:t>
      </w:r>
      <w:r>
        <w:rPr>
          <w:rFonts w:hint="eastAsia" w:ascii="仿宋_GB2312"/>
          <w:lang w:val="en-US" w:eastAsia="zh-CN"/>
        </w:rPr>
        <w:t>价</w:t>
      </w:r>
      <w:r>
        <w:rPr>
          <w:rFonts w:hint="eastAsia" w:ascii="仿宋_GB2312"/>
        </w:rPr>
        <w:t>范围：</w:t>
      </w:r>
    </w:p>
    <w:p w14:paraId="7C810073">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val="en-US" w:eastAsia="zh-CN"/>
        </w:rPr>
      </w:pPr>
      <w:r>
        <w:rPr>
          <w:rFonts w:hint="eastAsia" w:ascii="仿宋_GB2312"/>
          <w:lang w:val="en-US" w:eastAsia="zh-CN"/>
        </w:rPr>
        <w:t xml:space="preserve">（一）违反基本建设程序，不能提供施工许可证或相关主管部门批准的开工证明文件或未纳入建设工程质量安全监督管理的工程。 </w:t>
      </w:r>
    </w:p>
    <w:p w14:paraId="69B48BDE">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val="en-US" w:eastAsia="zh-CN"/>
        </w:rPr>
      </w:pPr>
      <w:r>
        <w:rPr>
          <w:rFonts w:hint="eastAsia" w:ascii="仿宋_GB2312"/>
          <w:lang w:val="en-US" w:eastAsia="zh-CN"/>
        </w:rPr>
        <w:t xml:space="preserve">（二）工程外观质量存在明显缺陷，主体结构或使用功能存在质量缺陷或隐患，出现影响安全和使用寿命缺陷的。 </w:t>
      </w:r>
    </w:p>
    <w:p w14:paraId="7AD57EB7">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val="en-US" w:eastAsia="zh-CN"/>
        </w:rPr>
      </w:pPr>
      <w:r>
        <w:rPr>
          <w:rFonts w:hint="eastAsia" w:ascii="仿宋_GB2312"/>
          <w:lang w:val="en-US" w:eastAsia="zh-CN"/>
        </w:rPr>
        <w:t xml:space="preserve">（三）不按有关规定进行施工安全生产标准化评定或评定为不合格的。 </w:t>
      </w:r>
    </w:p>
    <w:p w14:paraId="397D757A">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val="en-US" w:eastAsia="zh-CN"/>
        </w:rPr>
      </w:pPr>
      <w:r>
        <w:rPr>
          <w:rFonts w:hint="eastAsia" w:ascii="仿宋_GB2312"/>
          <w:lang w:val="en-US" w:eastAsia="zh-CN"/>
        </w:rPr>
        <w:t xml:space="preserve">（四）没有执行国家强制性技术标准的或超越资质范围施工的。 </w:t>
      </w:r>
    </w:p>
    <w:p w14:paraId="47C44737">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val="en-US" w:eastAsia="zh-CN"/>
        </w:rPr>
      </w:pPr>
      <w:r>
        <w:rPr>
          <w:rFonts w:hint="eastAsia" w:ascii="仿宋_GB2312"/>
          <w:lang w:val="en-US" w:eastAsia="zh-CN"/>
        </w:rPr>
        <w:t xml:space="preserve">（五）工程施工中发生一般及以上质量事故或安全事故、环境污染事故、劳资纠纷等重大不良社会影响事件的。 </w:t>
      </w:r>
    </w:p>
    <w:p w14:paraId="0175CA0B">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val="en-US" w:eastAsia="zh-CN"/>
        </w:rPr>
      </w:pPr>
      <w:r>
        <w:rPr>
          <w:rFonts w:hint="eastAsia" w:ascii="仿宋_GB2312"/>
          <w:lang w:val="en-US" w:eastAsia="zh-CN"/>
        </w:rPr>
        <w:t xml:space="preserve">（六）申报单位在申报年度内发生较大及以上安全生产事故，或两起及以上一般安全生产事故的单位所建设的工程项目。 </w:t>
      </w:r>
    </w:p>
    <w:p w14:paraId="641E68B2">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val="en-US" w:eastAsia="zh-CN"/>
        </w:rPr>
      </w:pPr>
      <w:r>
        <w:rPr>
          <w:rFonts w:hint="eastAsia" w:ascii="仿宋_GB2312"/>
          <w:lang w:val="en-US" w:eastAsia="zh-CN"/>
        </w:rPr>
        <w:t xml:space="preserve">（七）未按设计图纸、合同约定完成全部工程量，不具备该项目工程设计的全部使用功能的。 </w:t>
      </w:r>
    </w:p>
    <w:p w14:paraId="51C0D1EE">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val="en-US" w:eastAsia="zh-CN"/>
        </w:rPr>
      </w:pPr>
      <w:r>
        <w:rPr>
          <w:rFonts w:hint="eastAsia" w:ascii="仿宋_GB2312"/>
          <w:lang w:val="en-US" w:eastAsia="zh-CN"/>
        </w:rPr>
        <w:t xml:space="preserve">（八）没有进行工程安全和功能性试验检验或检验结果不合格的（道路结构层厚度抽芯、给排水管道严密性试验、排水管道 CCTV 检测、桥梁动静载试验、水池满水试验等检测 项目出现否决性结果），以及基础桩检测类别、频率不符合相关要求的、一类桩占比率低于 85%、无障碍设施建设不符合要求的。 </w:t>
      </w:r>
    </w:p>
    <w:p w14:paraId="6C25B70A">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val="en-US" w:eastAsia="zh-CN"/>
        </w:rPr>
      </w:pPr>
      <w:r>
        <w:rPr>
          <w:rFonts w:hint="eastAsia" w:ascii="仿宋_GB2312"/>
          <w:lang w:val="en-US" w:eastAsia="zh-CN"/>
        </w:rPr>
        <w:t>（九）竣工后被完全隐蔽，不能够组织现场外观和结构实体质量检查的。</w:t>
      </w:r>
    </w:p>
    <w:p w14:paraId="4506B432">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val="en-US" w:eastAsia="zh-CN"/>
        </w:rPr>
      </w:pPr>
      <w:r>
        <w:rPr>
          <w:rFonts w:hint="eastAsia" w:ascii="仿宋_GB2312"/>
          <w:lang w:val="en-US" w:eastAsia="zh-CN"/>
        </w:rPr>
        <w:t xml:space="preserve">（十）未按本办法要求完成施工质量评价项目备案手续，未进行中间过程检查或未完成中间过程检查整改的。 </w:t>
      </w:r>
    </w:p>
    <w:p w14:paraId="3FB97B81">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val="en-US" w:eastAsia="zh-CN"/>
        </w:rPr>
      </w:pPr>
      <w:r>
        <w:rPr>
          <w:rFonts w:hint="eastAsia" w:ascii="仿宋_GB2312"/>
          <w:lang w:val="en-US" w:eastAsia="zh-CN"/>
        </w:rPr>
        <w:t xml:space="preserve">（十一） 复评过程中，未能提供工程资料原件核查，工程资料组卷混乱或未编制案卷目录、卷内目录的。 </w:t>
      </w:r>
    </w:p>
    <w:p w14:paraId="5B12C6FB">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val="en-US" w:eastAsia="zh-CN"/>
        </w:rPr>
      </w:pPr>
      <w:r>
        <w:rPr>
          <w:rFonts w:hint="eastAsia" w:ascii="仿宋_GB2312"/>
          <w:lang w:val="en-US" w:eastAsia="zh-CN"/>
        </w:rPr>
        <w:t xml:space="preserve">（十二）在项目申报、中间过程检查、现场复评中存在弄虚作假行为的。 </w:t>
      </w:r>
    </w:p>
    <w:p w14:paraId="0CE19001">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val="en-US" w:eastAsia="zh-CN"/>
        </w:rPr>
      </w:pPr>
      <w:r>
        <w:rPr>
          <w:rFonts w:hint="eastAsia" w:ascii="仿宋_GB2312"/>
          <w:lang w:val="en-US" w:eastAsia="zh-CN"/>
        </w:rPr>
        <w:t>（十三）保密工程。</w:t>
      </w:r>
    </w:p>
    <w:p w14:paraId="6DFBA9F0">
      <w:pPr>
        <w:keepNext w:val="0"/>
        <w:keepLines w:val="0"/>
        <w:pageBreakBefore w:val="0"/>
        <w:widowControl w:val="0"/>
        <w:kinsoku/>
        <w:wordWrap/>
        <w:overflowPunct/>
        <w:topLinePunct w:val="0"/>
        <w:autoSpaceDE/>
        <w:autoSpaceDN/>
        <w:bidi w:val="0"/>
        <w:adjustRightInd/>
        <w:snapToGrid w:val="0"/>
        <w:spacing w:line="640" w:lineRule="exact"/>
        <w:ind w:right="0" w:rightChars="0"/>
        <w:contextualSpacing/>
        <w:jc w:val="center"/>
        <w:textAlignment w:val="auto"/>
        <w:outlineLvl w:val="9"/>
        <w:rPr>
          <w:rFonts w:hint="eastAsia" w:ascii="仿宋_GB2312" w:hAnsi="黑体"/>
          <w:b/>
          <w:bCs/>
          <w:spacing w:val="0"/>
        </w:rPr>
      </w:pPr>
    </w:p>
    <w:p w14:paraId="629DEC0E">
      <w:pPr>
        <w:keepNext w:val="0"/>
        <w:keepLines w:val="0"/>
        <w:pageBreakBefore w:val="0"/>
        <w:widowControl w:val="0"/>
        <w:kinsoku/>
        <w:wordWrap/>
        <w:overflowPunct/>
        <w:topLinePunct w:val="0"/>
        <w:autoSpaceDE/>
        <w:autoSpaceDN/>
        <w:bidi w:val="0"/>
        <w:adjustRightInd/>
        <w:snapToGrid w:val="0"/>
        <w:spacing w:line="640" w:lineRule="exact"/>
        <w:ind w:right="0" w:rightChars="0"/>
        <w:contextualSpacing/>
        <w:jc w:val="center"/>
        <w:textAlignment w:val="auto"/>
        <w:outlineLvl w:val="9"/>
        <w:rPr>
          <w:rFonts w:hint="default" w:ascii="仿宋_GB2312" w:hAnsi="黑体" w:eastAsia="仿宋_GB2312"/>
          <w:b/>
          <w:bCs/>
          <w:spacing w:val="0"/>
          <w:lang w:val="en-US" w:eastAsia="zh-CN"/>
        </w:rPr>
      </w:pPr>
      <w:r>
        <w:rPr>
          <w:rFonts w:hint="eastAsia" w:ascii="仿宋_GB2312" w:hAnsi="黑体"/>
          <w:b/>
          <w:bCs/>
          <w:spacing w:val="0"/>
        </w:rPr>
        <w:t>第四章  申报程序</w:t>
      </w:r>
      <w:r>
        <w:rPr>
          <w:rFonts w:hint="eastAsia" w:ascii="仿宋_GB2312" w:hAnsi="黑体"/>
          <w:b/>
          <w:bCs/>
          <w:spacing w:val="0"/>
          <w:lang w:val="en-US" w:eastAsia="zh-CN"/>
        </w:rPr>
        <w:t>及评价</w:t>
      </w:r>
    </w:p>
    <w:p w14:paraId="0C65D3BC">
      <w:pPr>
        <w:keepNext w:val="0"/>
        <w:keepLines w:val="0"/>
        <w:pageBreakBefore w:val="0"/>
        <w:widowControl w:val="0"/>
        <w:kinsoku/>
        <w:wordWrap/>
        <w:overflowPunct/>
        <w:topLinePunct w:val="0"/>
        <w:autoSpaceDE/>
        <w:autoSpaceDN/>
        <w:bidi w:val="0"/>
        <w:adjustRightInd/>
        <w:snapToGrid w:val="0"/>
        <w:spacing w:line="640" w:lineRule="exact"/>
        <w:ind w:right="0" w:rightChars="0" w:firstLine="643" w:firstLineChars="200"/>
        <w:contextualSpacing/>
        <w:textAlignment w:val="auto"/>
        <w:outlineLvl w:val="9"/>
        <w:rPr>
          <w:spacing w:val="0"/>
        </w:rPr>
      </w:pPr>
      <w:r>
        <w:rPr>
          <w:rFonts w:hint="eastAsia" w:ascii="仿宋_GB2312"/>
          <w:b/>
          <w:bCs/>
          <w:spacing w:val="0"/>
          <w:lang w:val="en-US" w:eastAsia="zh-CN"/>
        </w:rPr>
        <w:t>第九条</w:t>
      </w:r>
      <w:r>
        <w:rPr>
          <w:rFonts w:hint="eastAsia" w:ascii="仿宋_GB2312"/>
          <w:spacing w:val="0"/>
          <w:lang w:val="en-US" w:eastAsia="zh-CN"/>
        </w:rPr>
        <w:t xml:space="preserve"> </w:t>
      </w:r>
      <w:r>
        <w:rPr>
          <w:rFonts w:hint="eastAsia" w:ascii="仿宋_GB2312"/>
          <w:lang w:val="en-US" w:eastAsia="zh-CN"/>
        </w:rPr>
        <w:t>项目备案。申报单位须在项目实施前期（形象进度30%以前）完成备案手续，并提交一份加盖公章的纸质备案表。</w:t>
      </w:r>
    </w:p>
    <w:p w14:paraId="182693BC">
      <w:pPr>
        <w:keepNext w:val="0"/>
        <w:keepLines w:val="0"/>
        <w:pageBreakBefore w:val="0"/>
        <w:widowControl/>
        <w:suppressLineNumbers w:val="0"/>
        <w:kinsoku w:val="0"/>
        <w:wordWrap/>
        <w:overflowPunct/>
        <w:topLinePunct w:val="0"/>
        <w:autoSpaceDE w:val="0"/>
        <w:autoSpaceDN w:val="0"/>
        <w:bidi w:val="0"/>
        <w:adjustRightInd/>
        <w:snapToGrid/>
        <w:spacing w:line="640" w:lineRule="exact"/>
        <w:ind w:left="0" w:leftChars="0" w:firstLine="620" w:firstLineChars="193"/>
        <w:jc w:val="left"/>
        <w:textAlignment w:val="auto"/>
        <w:rPr>
          <w:rFonts w:hint="eastAsia" w:ascii="仿宋" w:hAnsi="仿宋" w:eastAsia="仿宋" w:cs="仿宋"/>
          <w:b w:val="0"/>
          <w:bCs w:val="0"/>
          <w:color w:val="000000"/>
          <w:spacing w:val="0"/>
          <w:kern w:val="0"/>
          <w:sz w:val="31"/>
          <w:szCs w:val="31"/>
          <w:lang w:val="en-US" w:eastAsia="zh-CN" w:bidi="ar"/>
        </w:rPr>
      </w:pPr>
      <w:r>
        <w:rPr>
          <w:rFonts w:hint="eastAsia" w:ascii="仿宋_GB2312"/>
          <w:b/>
          <w:bCs/>
          <w:spacing w:val="0"/>
          <w:lang w:val="en-US" w:eastAsia="zh-CN"/>
        </w:rPr>
        <w:t>第十条</w:t>
      </w:r>
      <w:r>
        <w:rPr>
          <w:rFonts w:hint="eastAsia" w:ascii="仿宋" w:hAnsi="仿宋" w:eastAsia="仿宋" w:cs="仿宋"/>
          <w:b/>
          <w:bCs/>
          <w:color w:val="000000"/>
          <w:spacing w:val="0"/>
          <w:kern w:val="0"/>
          <w:sz w:val="31"/>
          <w:szCs w:val="31"/>
          <w:lang w:val="en-US" w:eastAsia="zh-CN" w:bidi="ar"/>
        </w:rPr>
        <w:t xml:space="preserve"> </w:t>
      </w:r>
      <w:r>
        <w:rPr>
          <w:rFonts w:hint="eastAsia" w:ascii="仿宋_GB2312"/>
          <w:lang w:val="en-US" w:eastAsia="zh-CN"/>
        </w:rPr>
        <w:t>中间过程检查。项目实行质量动态过程跟踪， 市建筑协会根据申报单位报备的主要施工内容和实施进度，在工程进度40%-60%期间，适时组织专家组对项目外观和实体质量（含内业资料）进行中间过程检查，对项目的施工质量管控和资料编制等予以指导评价，同时对参建方及专业分包单位进行质量履职评价。</w:t>
      </w:r>
    </w:p>
    <w:p w14:paraId="413C89ED">
      <w:pPr>
        <w:keepNext w:val="0"/>
        <w:keepLines w:val="0"/>
        <w:pageBreakBefore w:val="0"/>
        <w:widowControl w:val="0"/>
        <w:kinsoku/>
        <w:wordWrap/>
        <w:overflowPunct/>
        <w:topLinePunct w:val="0"/>
        <w:autoSpaceDE/>
        <w:autoSpaceDN/>
        <w:bidi w:val="0"/>
        <w:snapToGrid w:val="0"/>
        <w:spacing w:line="640" w:lineRule="exact"/>
        <w:ind w:right="0" w:rightChars="0" w:firstLine="643" w:firstLineChars="200"/>
        <w:contextualSpacing/>
        <w:textAlignment w:val="auto"/>
        <w:outlineLvl w:val="9"/>
        <w:rPr>
          <w:rFonts w:hint="eastAsia" w:ascii="仿宋_GB2312"/>
          <w:lang w:val="en-US" w:eastAsia="zh-CN"/>
        </w:rPr>
      </w:pPr>
      <w:r>
        <w:rPr>
          <w:rFonts w:hint="eastAsia" w:ascii="仿宋_GB2312"/>
          <w:b/>
          <w:bCs/>
          <w:spacing w:val="0"/>
          <w:lang w:val="en-US" w:eastAsia="zh-CN"/>
        </w:rPr>
        <w:t>第十一条</w:t>
      </w:r>
      <w:r>
        <w:rPr>
          <w:rFonts w:hint="eastAsia" w:ascii="仿宋" w:hAnsi="仿宋" w:eastAsia="仿宋" w:cs="仿宋"/>
          <w:b w:val="0"/>
          <w:bCs w:val="0"/>
          <w:color w:val="000000"/>
          <w:sz w:val="31"/>
          <w:szCs w:val="31"/>
          <w:lang w:val="en-US" w:eastAsia="zh-CN"/>
        </w:rPr>
        <w:t xml:space="preserve"> </w:t>
      </w:r>
      <w:r>
        <w:rPr>
          <w:rFonts w:hint="eastAsia" w:ascii="仿宋_GB2312"/>
          <w:lang w:val="en-US" w:eastAsia="zh-CN"/>
        </w:rPr>
        <w:t xml:space="preserve">项目复评的步骤。 </w:t>
      </w:r>
    </w:p>
    <w:p w14:paraId="54E8DC6B">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val="en-US" w:eastAsia="zh-CN"/>
        </w:rPr>
      </w:pPr>
      <w:r>
        <w:rPr>
          <w:rFonts w:hint="eastAsia" w:ascii="仿宋_GB2312"/>
          <w:lang w:val="en-US" w:eastAsia="zh-CN"/>
        </w:rPr>
        <w:t xml:space="preserve">（一）申报。市建筑协会每年定期开展施工质量评价活动，受理申报工作，申报单位须通过协会网站系统按照当年的申报通知要求提交资料。 </w:t>
      </w:r>
    </w:p>
    <w:p w14:paraId="26A6AD7D">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lang w:val="en-US" w:eastAsia="zh-CN"/>
        </w:rPr>
      </w:pPr>
      <w:r>
        <w:rPr>
          <w:rFonts w:hint="eastAsia" w:ascii="仿宋_GB2312"/>
          <w:lang w:val="en-US" w:eastAsia="zh-CN"/>
        </w:rPr>
        <w:t xml:space="preserve">（二）现场复评。市建筑协会组织专家组对通过中间过程检查的项目进行现场复评，专家组复评后向协会提交复评报告，并汇报复评情况。 </w:t>
      </w:r>
    </w:p>
    <w:p w14:paraId="5AD7F4F7">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default" w:ascii="仿宋" w:hAnsi="仿宋" w:eastAsia="仿宋_GB2312" w:cs="仿宋"/>
          <w:b w:val="0"/>
          <w:bCs w:val="0"/>
          <w:color w:val="000000"/>
          <w:spacing w:val="0"/>
          <w:kern w:val="0"/>
          <w:sz w:val="31"/>
          <w:szCs w:val="31"/>
          <w:lang w:val="en-US" w:eastAsia="zh-CN" w:bidi="ar"/>
        </w:rPr>
      </w:pPr>
      <w:r>
        <w:rPr>
          <w:rFonts w:hint="eastAsia" w:ascii="仿宋_GB2312"/>
          <w:lang w:val="en-US" w:eastAsia="zh-CN"/>
        </w:rPr>
        <w:t>（三）评定会议。现场复评工作结束后，市建筑协会召开施工质量评价大评委评定会议，评定结果将在协会网站上公示7日。公示无异议后，视为通过市市政工程施工质量评价。评价结果报市住房和城乡建设管理局备案。</w:t>
      </w:r>
    </w:p>
    <w:p w14:paraId="04FA2FA5">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ascii="仿宋_GB2312" w:hAnsi="黑体"/>
          <w:b/>
          <w:bCs/>
        </w:rPr>
      </w:pPr>
      <w:r>
        <w:rPr>
          <w:rFonts w:hint="eastAsia" w:ascii="仿宋_GB2312" w:hAnsi="黑体"/>
          <w:b/>
          <w:bCs/>
        </w:rPr>
        <w:t>第</w:t>
      </w:r>
      <w:r>
        <w:rPr>
          <w:rFonts w:hint="eastAsia" w:ascii="仿宋_GB2312" w:hAnsi="黑体"/>
          <w:b/>
          <w:bCs/>
          <w:lang w:val="en-US" w:eastAsia="zh-CN"/>
        </w:rPr>
        <w:t>五</w:t>
      </w:r>
      <w:r>
        <w:rPr>
          <w:rFonts w:hint="eastAsia" w:ascii="仿宋_GB2312" w:hAnsi="黑体"/>
          <w:b/>
          <w:bCs/>
        </w:rPr>
        <w:t>章   表  彰</w:t>
      </w:r>
    </w:p>
    <w:p w14:paraId="0C3E67B3">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第十</w:t>
      </w:r>
      <w:r>
        <w:rPr>
          <w:rFonts w:hint="eastAsia" w:ascii="仿宋_GB2312"/>
          <w:b/>
          <w:bCs/>
          <w:lang w:val="en-US" w:eastAsia="zh-CN"/>
        </w:rPr>
        <w:t>二</w:t>
      </w:r>
      <w:r>
        <w:rPr>
          <w:rFonts w:hint="eastAsia" w:ascii="仿宋_GB2312"/>
          <w:b/>
          <w:bCs/>
        </w:rPr>
        <w:t>条</w:t>
      </w:r>
      <w:r>
        <w:rPr>
          <w:rFonts w:hint="eastAsia" w:ascii="仿宋_GB2312"/>
        </w:rPr>
        <w:t xml:space="preserve">  由市建筑协会向</w:t>
      </w:r>
      <w:r>
        <w:rPr>
          <w:rFonts w:hint="eastAsia" w:ascii="仿宋_GB2312"/>
          <w:lang w:val="en-US" w:eastAsia="zh-CN"/>
        </w:rPr>
        <w:t>通过</w:t>
      </w:r>
      <w:r>
        <w:rPr>
          <w:rFonts w:hint="eastAsia" w:ascii="仿宋_GB2312"/>
        </w:rPr>
        <w:t>市</w:t>
      </w:r>
      <w:r>
        <w:rPr>
          <w:rFonts w:hint="eastAsia" w:ascii="仿宋_GB2312"/>
          <w:lang w:val="en-US" w:eastAsia="zh-CN"/>
        </w:rPr>
        <w:t>市政工程</w:t>
      </w:r>
      <w:r>
        <w:rPr>
          <w:rFonts w:hint="eastAsia" w:ascii="仿宋_GB2312"/>
          <w:lang w:eastAsia="zh-CN"/>
        </w:rPr>
        <w:t>施工质量评价</w:t>
      </w:r>
      <w:r>
        <w:rPr>
          <w:rFonts w:hint="eastAsia" w:ascii="仿宋_GB2312"/>
          <w:lang w:val="en-US" w:eastAsia="zh-CN"/>
        </w:rPr>
        <w:t>项目的</w:t>
      </w:r>
      <w:r>
        <w:rPr>
          <w:rFonts w:hint="eastAsia" w:ascii="仿宋_GB2312"/>
        </w:rPr>
        <w:t>承建、参建、监理等单位及注册建造师（项目经理）、注册监理工程师，</w:t>
      </w:r>
      <w:r>
        <w:rPr>
          <w:rFonts w:hint="eastAsia" w:ascii="仿宋_GB2312"/>
          <w:lang w:val="en-US" w:eastAsia="zh-CN"/>
        </w:rPr>
        <w:t>颁发“韶关市市政工程施工质量评价项目”单位及个人荣誉</w:t>
      </w:r>
      <w:r>
        <w:rPr>
          <w:rFonts w:hint="eastAsia" w:ascii="仿宋_GB2312"/>
        </w:rPr>
        <w:t>证书，并予以公布表彰。</w:t>
      </w:r>
    </w:p>
    <w:p w14:paraId="35AF94CF">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第十</w:t>
      </w:r>
      <w:r>
        <w:rPr>
          <w:rFonts w:hint="eastAsia" w:ascii="仿宋_GB2312"/>
          <w:b/>
          <w:bCs/>
          <w:lang w:val="en-US" w:eastAsia="zh-CN"/>
        </w:rPr>
        <w:t>三</w:t>
      </w:r>
      <w:r>
        <w:rPr>
          <w:rFonts w:hint="eastAsia" w:ascii="仿宋_GB2312"/>
          <w:b/>
          <w:bCs/>
        </w:rPr>
        <w:t xml:space="preserve">条  </w:t>
      </w:r>
      <w:r>
        <w:rPr>
          <w:rFonts w:hint="eastAsia" w:ascii="仿宋_GB2312"/>
        </w:rPr>
        <w:t>从</w:t>
      </w:r>
      <w:r>
        <w:rPr>
          <w:rFonts w:hint="eastAsia" w:ascii="仿宋_GB2312"/>
          <w:lang w:val="en-US" w:eastAsia="zh-CN"/>
        </w:rPr>
        <w:t>通过</w:t>
      </w:r>
      <w:r>
        <w:rPr>
          <w:rFonts w:hint="eastAsia" w:ascii="仿宋_GB2312"/>
        </w:rPr>
        <w:t>市</w:t>
      </w:r>
      <w:r>
        <w:rPr>
          <w:rFonts w:hint="eastAsia" w:ascii="仿宋_GB2312"/>
          <w:lang w:val="en-US" w:eastAsia="zh-CN"/>
        </w:rPr>
        <w:t>市政工程</w:t>
      </w:r>
      <w:r>
        <w:rPr>
          <w:rFonts w:hint="eastAsia" w:ascii="仿宋_GB2312"/>
          <w:lang w:eastAsia="zh-CN"/>
        </w:rPr>
        <w:t>施工质量评价</w:t>
      </w:r>
      <w:r>
        <w:rPr>
          <w:rFonts w:hint="eastAsia" w:ascii="仿宋_GB2312"/>
        </w:rPr>
        <w:t>的项目中择优向省</w:t>
      </w:r>
      <w:r>
        <w:rPr>
          <w:rFonts w:hint="eastAsia" w:ascii="仿宋_GB2312"/>
          <w:lang w:val="en-US" w:eastAsia="zh-CN"/>
        </w:rPr>
        <w:t>市政行业</w:t>
      </w:r>
      <w:r>
        <w:rPr>
          <w:rFonts w:hint="eastAsia" w:ascii="仿宋_GB2312"/>
        </w:rPr>
        <w:t>协会推荐，参与省</w:t>
      </w:r>
      <w:r>
        <w:rPr>
          <w:rFonts w:hint="eastAsia" w:ascii="仿宋_GB2312"/>
          <w:lang w:val="en-US" w:eastAsia="zh-CN"/>
        </w:rPr>
        <w:t>市政最高</w:t>
      </w:r>
      <w:r>
        <w:rPr>
          <w:rFonts w:hint="eastAsia" w:ascii="仿宋_GB2312"/>
          <w:lang w:eastAsia="zh-CN"/>
        </w:rPr>
        <w:t>质量</w:t>
      </w:r>
      <w:r>
        <w:rPr>
          <w:rFonts w:hint="eastAsia" w:ascii="仿宋_GB2312"/>
          <w:lang w:val="en-US" w:eastAsia="zh-CN"/>
        </w:rPr>
        <w:t>水平</w:t>
      </w:r>
      <w:r>
        <w:rPr>
          <w:rFonts w:hint="eastAsia" w:ascii="仿宋_GB2312"/>
          <w:lang w:eastAsia="zh-CN"/>
        </w:rPr>
        <w:t>评价</w:t>
      </w:r>
      <w:r>
        <w:rPr>
          <w:rFonts w:hint="eastAsia" w:ascii="仿宋_GB2312"/>
        </w:rPr>
        <w:t>的评选。</w:t>
      </w:r>
    </w:p>
    <w:p w14:paraId="35C55169">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hint="eastAsia" w:ascii="仿宋_GB2312" w:hAnsi="黑体"/>
          <w:b/>
          <w:bCs/>
        </w:rPr>
      </w:pPr>
    </w:p>
    <w:p w14:paraId="38E43628">
      <w:pPr>
        <w:keepNext w:val="0"/>
        <w:keepLines w:val="0"/>
        <w:pageBreakBefore w:val="0"/>
        <w:widowControl w:val="0"/>
        <w:kinsoku/>
        <w:wordWrap/>
        <w:overflowPunct/>
        <w:topLinePunct w:val="0"/>
        <w:autoSpaceDE/>
        <w:autoSpaceDN/>
        <w:bidi w:val="0"/>
        <w:snapToGrid w:val="0"/>
        <w:spacing w:line="640" w:lineRule="exact"/>
        <w:ind w:right="0" w:rightChars="0"/>
        <w:contextualSpacing/>
        <w:jc w:val="center"/>
        <w:textAlignment w:val="auto"/>
        <w:outlineLvl w:val="9"/>
        <w:rPr>
          <w:rFonts w:ascii="仿宋_GB2312" w:hAnsi="黑体"/>
          <w:b/>
          <w:bCs/>
        </w:rPr>
      </w:pPr>
      <w:r>
        <w:rPr>
          <w:rFonts w:hint="eastAsia" w:ascii="仿宋_GB2312" w:hAnsi="黑体"/>
          <w:b/>
          <w:bCs/>
        </w:rPr>
        <w:t>第</w:t>
      </w:r>
      <w:r>
        <w:rPr>
          <w:rFonts w:hint="eastAsia" w:ascii="仿宋_GB2312" w:hAnsi="黑体"/>
          <w:b/>
          <w:bCs/>
          <w:lang w:val="en-US" w:eastAsia="zh-CN"/>
        </w:rPr>
        <w:t>六</w:t>
      </w:r>
      <w:r>
        <w:rPr>
          <w:rFonts w:hint="eastAsia" w:ascii="仿宋_GB2312" w:hAnsi="黑体"/>
          <w:b/>
          <w:bCs/>
        </w:rPr>
        <w:t>章   附 则</w:t>
      </w:r>
    </w:p>
    <w:p w14:paraId="156A6A2B">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right="0" w:rightChars="0" w:firstLine="643" w:firstLineChars="200"/>
        <w:contextualSpacing/>
        <w:jc w:val="both"/>
        <w:textAlignment w:val="auto"/>
        <w:outlineLvl w:val="9"/>
        <w:rPr>
          <w:rFonts w:ascii="仿宋_GB2312" w:hAnsi="Times New Roman" w:eastAsia="仿宋_GB2312"/>
          <w:kern w:val="2"/>
          <w:sz w:val="32"/>
          <w:szCs w:val="32"/>
        </w:rPr>
      </w:pPr>
      <w:r>
        <w:rPr>
          <w:rFonts w:hint="eastAsia" w:ascii="仿宋_GB2312" w:hAnsi="Times New Roman" w:eastAsia="仿宋_GB2312"/>
          <w:b/>
          <w:bCs/>
          <w:kern w:val="2"/>
          <w:sz w:val="32"/>
          <w:szCs w:val="32"/>
        </w:rPr>
        <w:t>第十</w:t>
      </w:r>
      <w:r>
        <w:rPr>
          <w:rFonts w:hint="eastAsia" w:ascii="仿宋_GB2312" w:hAnsi="Times New Roman" w:eastAsia="仿宋_GB2312"/>
          <w:b/>
          <w:bCs/>
          <w:kern w:val="2"/>
          <w:sz w:val="32"/>
          <w:szCs w:val="32"/>
          <w:lang w:val="en-US" w:eastAsia="zh-CN"/>
        </w:rPr>
        <w:t>四</w:t>
      </w:r>
      <w:r>
        <w:rPr>
          <w:rFonts w:hint="eastAsia" w:ascii="仿宋_GB2312" w:hAnsi="Times New Roman" w:eastAsia="仿宋_GB2312"/>
          <w:b/>
          <w:bCs/>
          <w:kern w:val="2"/>
          <w:sz w:val="32"/>
          <w:szCs w:val="32"/>
        </w:rPr>
        <w:t>条</w:t>
      </w:r>
      <w:r>
        <w:rPr>
          <w:rFonts w:hint="eastAsia" w:ascii="仿宋_GB2312" w:hAnsi="Times New Roman" w:eastAsia="仿宋_GB2312"/>
          <w:kern w:val="2"/>
          <w:sz w:val="32"/>
          <w:szCs w:val="32"/>
        </w:rPr>
        <w:t xml:space="preserve">  市建筑协会负责设立市</w:t>
      </w:r>
      <w:r>
        <w:rPr>
          <w:rFonts w:hint="eastAsia" w:ascii="仿宋_GB2312" w:hAnsi="Times New Roman" w:eastAsia="仿宋_GB2312"/>
          <w:kern w:val="2"/>
          <w:sz w:val="32"/>
          <w:szCs w:val="32"/>
          <w:lang w:eastAsia="zh-CN"/>
        </w:rPr>
        <w:t>施工质量评价</w:t>
      </w:r>
      <w:r>
        <w:rPr>
          <w:rFonts w:hint="eastAsia" w:ascii="仿宋_GB2312" w:hAnsi="Times New Roman" w:eastAsia="仿宋_GB2312"/>
          <w:kern w:val="2"/>
          <w:sz w:val="32"/>
          <w:szCs w:val="32"/>
        </w:rPr>
        <w:t>评选专家库，挑选在工程质量管理方面具有丰富经验，且原则上具有高级工程师以上职称的人员为专家库专家。从专家库选派专家参加每年组织开展的评</w:t>
      </w:r>
      <w:r>
        <w:rPr>
          <w:rFonts w:hint="eastAsia" w:ascii="仿宋_GB2312" w:hAnsi="Times New Roman" w:eastAsia="仿宋_GB2312"/>
          <w:kern w:val="2"/>
          <w:sz w:val="32"/>
          <w:szCs w:val="32"/>
          <w:lang w:val="en-US" w:eastAsia="zh-CN"/>
        </w:rPr>
        <w:t>价</w:t>
      </w:r>
      <w:r>
        <w:rPr>
          <w:rFonts w:hint="eastAsia" w:ascii="仿宋_GB2312" w:hAnsi="Times New Roman" w:eastAsia="仿宋_GB2312"/>
          <w:kern w:val="2"/>
          <w:sz w:val="32"/>
          <w:szCs w:val="32"/>
        </w:rPr>
        <w:t>工作。</w:t>
      </w:r>
    </w:p>
    <w:p w14:paraId="52719755">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第十</w:t>
      </w:r>
      <w:r>
        <w:rPr>
          <w:rFonts w:hint="eastAsia" w:ascii="仿宋_GB2312"/>
          <w:b/>
          <w:bCs/>
          <w:lang w:val="en-US" w:eastAsia="zh-CN"/>
        </w:rPr>
        <w:t>五</w:t>
      </w:r>
      <w:r>
        <w:rPr>
          <w:rFonts w:hint="eastAsia" w:ascii="仿宋_GB2312"/>
          <w:b/>
          <w:bCs/>
        </w:rPr>
        <w:t>条</w:t>
      </w:r>
      <w:r>
        <w:rPr>
          <w:rFonts w:hint="eastAsia" w:ascii="仿宋_GB2312"/>
        </w:rPr>
        <w:t xml:space="preserve">  </w:t>
      </w:r>
      <w:r>
        <w:rPr>
          <w:rFonts w:hint="eastAsia" w:ascii="仿宋_GB2312"/>
          <w:lang w:val="en-US" w:eastAsia="zh-CN"/>
        </w:rPr>
        <w:t>评价</w:t>
      </w:r>
      <w:r>
        <w:rPr>
          <w:rFonts w:hint="eastAsia" w:ascii="仿宋_GB2312"/>
        </w:rPr>
        <w:t>结果公布后，发现获</w:t>
      </w:r>
      <w:r>
        <w:rPr>
          <w:rFonts w:hint="eastAsia" w:ascii="仿宋_GB2312"/>
          <w:lang w:val="en-US" w:eastAsia="zh-CN"/>
        </w:rPr>
        <w:t>得市施工质量评价荣誉的</w:t>
      </w:r>
      <w:r>
        <w:rPr>
          <w:rFonts w:hint="eastAsia" w:ascii="仿宋_GB2312"/>
        </w:rPr>
        <w:t>工程与</w:t>
      </w:r>
      <w:r>
        <w:rPr>
          <w:rFonts w:hint="eastAsia" w:ascii="仿宋_GB2312"/>
          <w:lang w:val="en-US" w:eastAsia="zh-CN"/>
        </w:rPr>
        <w:t>评价办法</w:t>
      </w:r>
      <w:r>
        <w:rPr>
          <w:rFonts w:hint="eastAsia" w:ascii="仿宋_GB2312"/>
        </w:rPr>
        <w:t>条件不相符，市建筑协会将组织专家对工程进行鉴定，并有权作出取消该工程获得的称号，收回</w:t>
      </w:r>
      <w:r>
        <w:rPr>
          <w:rFonts w:hint="eastAsia" w:ascii="仿宋_GB2312"/>
          <w:lang w:val="en-US" w:eastAsia="zh-CN"/>
        </w:rPr>
        <w:t>荣誉</w:t>
      </w:r>
      <w:r>
        <w:rPr>
          <w:rFonts w:hint="eastAsia" w:ascii="仿宋_GB2312"/>
        </w:rPr>
        <w:t>证书</w:t>
      </w:r>
      <w:r>
        <w:rPr>
          <w:rFonts w:hint="eastAsia" w:ascii="仿宋_GB2312"/>
          <w:lang w:eastAsia="zh-CN"/>
        </w:rPr>
        <w:t>，</w:t>
      </w:r>
      <w:r>
        <w:rPr>
          <w:rFonts w:hint="eastAsia" w:ascii="仿宋_GB2312"/>
        </w:rPr>
        <w:t>并报市住房和城乡建设管理局备案。</w:t>
      </w:r>
    </w:p>
    <w:p w14:paraId="7A386302">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ascii="仿宋_GB2312"/>
        </w:rPr>
      </w:pPr>
      <w:r>
        <w:rPr>
          <w:rFonts w:hint="eastAsia" w:ascii="仿宋_GB2312"/>
          <w:b/>
          <w:bCs/>
        </w:rPr>
        <w:t>第</w:t>
      </w:r>
      <w:r>
        <w:rPr>
          <w:rFonts w:hint="eastAsia" w:ascii="仿宋_GB2312"/>
          <w:b/>
          <w:bCs/>
          <w:lang w:val="en-US" w:eastAsia="zh-CN"/>
        </w:rPr>
        <w:t>十六</w:t>
      </w:r>
      <w:r>
        <w:rPr>
          <w:rFonts w:hint="eastAsia" w:ascii="仿宋_GB2312"/>
          <w:b/>
          <w:bCs/>
        </w:rPr>
        <w:t>条</w:t>
      </w:r>
      <w:r>
        <w:rPr>
          <w:rFonts w:hint="eastAsia" w:ascii="仿宋_GB2312"/>
        </w:rPr>
        <w:t xml:space="preserve">  本办法由韶关市建筑协会负责解释。</w:t>
      </w:r>
    </w:p>
    <w:p w14:paraId="68F340F6">
      <w:pPr>
        <w:keepNext w:val="0"/>
        <w:keepLines w:val="0"/>
        <w:pageBreakBefore w:val="0"/>
        <w:widowControl w:val="0"/>
        <w:kinsoku/>
        <w:wordWrap/>
        <w:overflowPunct/>
        <w:topLinePunct w:val="0"/>
        <w:autoSpaceDE/>
        <w:autoSpaceDN/>
        <w:bidi w:val="0"/>
        <w:snapToGrid w:val="0"/>
        <w:spacing w:line="640" w:lineRule="exact"/>
        <w:ind w:right="0" w:rightChars="0" w:firstLine="619" w:firstLineChars="200"/>
        <w:contextualSpacing/>
        <w:textAlignment w:val="auto"/>
        <w:outlineLvl w:val="9"/>
        <w:rPr>
          <w:rFonts w:hint="eastAsia" w:ascii="仿宋_GB2312"/>
        </w:rPr>
      </w:pPr>
      <w:r>
        <w:rPr>
          <w:rFonts w:hint="eastAsia" w:ascii="仿宋_GB2312"/>
          <w:b/>
          <w:bCs/>
        </w:rPr>
        <w:t>第</w:t>
      </w:r>
      <w:r>
        <w:rPr>
          <w:rFonts w:hint="eastAsia" w:ascii="仿宋_GB2312"/>
          <w:b/>
          <w:bCs/>
          <w:lang w:val="en-US" w:eastAsia="zh-CN"/>
        </w:rPr>
        <w:t>十七</w:t>
      </w:r>
      <w:r>
        <w:rPr>
          <w:rFonts w:hint="eastAsia" w:ascii="仿宋_GB2312"/>
          <w:b/>
          <w:bCs/>
        </w:rPr>
        <w:t>条</w:t>
      </w:r>
      <w:r>
        <w:rPr>
          <w:rFonts w:hint="eastAsia" w:ascii="仿宋_GB2312"/>
        </w:rPr>
        <w:t xml:space="preserve">  </w:t>
      </w:r>
      <w:r>
        <w:rPr>
          <w:rFonts w:hint="eastAsia" w:ascii="仿宋_GB2312" w:hAnsi="仿宋" w:cs="宋体"/>
          <w:spacing w:val="0"/>
          <w:kern w:val="0"/>
          <w:lang w:bidi="ar-SA"/>
        </w:rPr>
        <w:t>本办法自公布之日起实施</w:t>
      </w:r>
      <w:r>
        <w:rPr>
          <w:rFonts w:hint="eastAsia" w:ascii="仿宋_GB2312"/>
        </w:rPr>
        <w:t>。</w:t>
      </w:r>
    </w:p>
    <w:p w14:paraId="5133A483">
      <w:pPr>
        <w:keepNext w:val="0"/>
        <w:keepLines w:val="0"/>
        <w:pageBreakBefore w:val="0"/>
        <w:widowControl w:val="0"/>
        <w:kinsoku/>
        <w:wordWrap/>
        <w:overflowPunct/>
        <w:topLinePunct w:val="0"/>
        <w:autoSpaceDE/>
        <w:autoSpaceDN/>
        <w:bidi w:val="0"/>
        <w:snapToGrid w:val="0"/>
        <w:spacing w:line="640" w:lineRule="exact"/>
        <w:ind w:right="0" w:rightChars="0" w:firstLine="616" w:firstLineChars="200"/>
        <w:contextualSpacing/>
        <w:textAlignment w:val="auto"/>
        <w:outlineLvl w:val="9"/>
        <w:rPr>
          <w:rFonts w:hint="eastAsia" w:ascii="仿宋_GB2312"/>
        </w:rPr>
      </w:pPr>
    </w:p>
    <w:p w14:paraId="2129CC1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pPr>
    </w:p>
    <w:sectPr>
      <w:headerReference r:id="rId5" w:type="default"/>
      <w:footerReference r:id="rId6" w:type="default"/>
      <w:pgSz w:w="11906" w:h="16838"/>
      <w:pgMar w:top="1587" w:right="1361" w:bottom="1247" w:left="1361" w:header="851" w:footer="992" w:gutter="0"/>
      <w:pgNumType w:fmt="numberInDash" w:start="2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0D67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4928CA">
                          <w:pPr>
                            <w:pStyle w:val="2"/>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- 1 -</w:t>
                          </w:r>
                          <w:r>
                            <w:rPr>
                              <w:rFonts w:hint="eastAsia" w:ascii="宋体" w:hAnsi="宋体" w:eastAsia="宋体" w:cs="宋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B4928CA">
                    <w:pPr>
                      <w:pStyle w:val="2"/>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- 1 -</w:t>
                    </w:r>
                    <w:r>
                      <w:rPr>
                        <w:rFonts w:hint="eastAsia" w:ascii="宋体" w:hAnsi="宋体" w:eastAsia="宋体" w:cs="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86839">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D8"/>
    <w:rsid w:val="0003316B"/>
    <w:rsid w:val="00075499"/>
    <w:rsid w:val="00210538"/>
    <w:rsid w:val="00271ECD"/>
    <w:rsid w:val="0027512A"/>
    <w:rsid w:val="002A54E0"/>
    <w:rsid w:val="002B7288"/>
    <w:rsid w:val="002E5C4A"/>
    <w:rsid w:val="003E68A5"/>
    <w:rsid w:val="00443830"/>
    <w:rsid w:val="00497FA9"/>
    <w:rsid w:val="005145B8"/>
    <w:rsid w:val="005301BE"/>
    <w:rsid w:val="005368E1"/>
    <w:rsid w:val="00576A1C"/>
    <w:rsid w:val="006766D8"/>
    <w:rsid w:val="0068629B"/>
    <w:rsid w:val="006D1837"/>
    <w:rsid w:val="008203E7"/>
    <w:rsid w:val="0082338F"/>
    <w:rsid w:val="008B5016"/>
    <w:rsid w:val="00926AAD"/>
    <w:rsid w:val="009A2F92"/>
    <w:rsid w:val="009B3B5F"/>
    <w:rsid w:val="009D5D95"/>
    <w:rsid w:val="00AC67BC"/>
    <w:rsid w:val="00AF6B09"/>
    <w:rsid w:val="00BE1736"/>
    <w:rsid w:val="00CA5510"/>
    <w:rsid w:val="00DA49F6"/>
    <w:rsid w:val="00DD01B2"/>
    <w:rsid w:val="00E743E2"/>
    <w:rsid w:val="00FA79DB"/>
    <w:rsid w:val="00FF3C4D"/>
    <w:rsid w:val="05DF613A"/>
    <w:rsid w:val="06403671"/>
    <w:rsid w:val="0BAD3348"/>
    <w:rsid w:val="0BD053BB"/>
    <w:rsid w:val="0DC72952"/>
    <w:rsid w:val="0DC9591F"/>
    <w:rsid w:val="107F7744"/>
    <w:rsid w:val="11205652"/>
    <w:rsid w:val="13151038"/>
    <w:rsid w:val="142838A1"/>
    <w:rsid w:val="145E7874"/>
    <w:rsid w:val="15C82314"/>
    <w:rsid w:val="17124E18"/>
    <w:rsid w:val="1720198D"/>
    <w:rsid w:val="17F4213F"/>
    <w:rsid w:val="18345625"/>
    <w:rsid w:val="191C083B"/>
    <w:rsid w:val="19E86A3B"/>
    <w:rsid w:val="1D8E6DA6"/>
    <w:rsid w:val="1ED446CB"/>
    <w:rsid w:val="1F524847"/>
    <w:rsid w:val="1F8E0154"/>
    <w:rsid w:val="22FC14AC"/>
    <w:rsid w:val="2D9D0FA5"/>
    <w:rsid w:val="2EAB2AD8"/>
    <w:rsid w:val="2EB434F3"/>
    <w:rsid w:val="3C253F4E"/>
    <w:rsid w:val="3C8E3197"/>
    <w:rsid w:val="3F2960B1"/>
    <w:rsid w:val="3FE11E57"/>
    <w:rsid w:val="40F159C7"/>
    <w:rsid w:val="44BC6156"/>
    <w:rsid w:val="466D2696"/>
    <w:rsid w:val="46911718"/>
    <w:rsid w:val="46C91A14"/>
    <w:rsid w:val="4CD82614"/>
    <w:rsid w:val="4E467027"/>
    <w:rsid w:val="4E731095"/>
    <w:rsid w:val="4ED942DC"/>
    <w:rsid w:val="507431D0"/>
    <w:rsid w:val="50891D0F"/>
    <w:rsid w:val="516E7536"/>
    <w:rsid w:val="54200E33"/>
    <w:rsid w:val="55000396"/>
    <w:rsid w:val="59050E32"/>
    <w:rsid w:val="5ACE1A2A"/>
    <w:rsid w:val="5CCE2B12"/>
    <w:rsid w:val="5F0C1AD1"/>
    <w:rsid w:val="64693993"/>
    <w:rsid w:val="646B6310"/>
    <w:rsid w:val="65D74ED4"/>
    <w:rsid w:val="687D1800"/>
    <w:rsid w:val="69CC5BD5"/>
    <w:rsid w:val="6A1D2BD4"/>
    <w:rsid w:val="6BBA5CF0"/>
    <w:rsid w:val="6C7E2CF4"/>
    <w:rsid w:val="6D0F0B49"/>
    <w:rsid w:val="6DCE36A0"/>
    <w:rsid w:val="6EB0645D"/>
    <w:rsid w:val="6F324E88"/>
    <w:rsid w:val="716A16E8"/>
    <w:rsid w:val="72F30314"/>
    <w:rsid w:val="73E17440"/>
    <w:rsid w:val="76AD11FF"/>
    <w:rsid w:val="7B211EC4"/>
    <w:rsid w:val="7B3B7EDE"/>
    <w:rsid w:val="7F7758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line="240" w:lineRule="auto"/>
      <w:jc w:val="left"/>
    </w:pPr>
    <w:rPr>
      <w:rFonts w:ascii="宋体" w:hAnsi="宋体" w:eastAsia="宋体" w:cs="宋体"/>
      <w:spacing w:val="0"/>
      <w:kern w:val="0"/>
      <w:sz w:val="24"/>
      <w:szCs w:val="24"/>
      <w:lang w:bidi="ar-SA"/>
    </w:rPr>
  </w:style>
  <w:style w:type="character" w:customStyle="1" w:styleId="7">
    <w:name w:val="页眉 Char"/>
    <w:basedOn w:val="6"/>
    <w:link w:val="3"/>
    <w:qFormat/>
    <w:uiPriority w:val="99"/>
    <w:rPr>
      <w:rFonts w:ascii="Times New Roman" w:hAnsi="Times New Roman" w:eastAsia="仿宋_GB2312" w:cs="Times New Roman"/>
      <w:spacing w:val="-6"/>
      <w:sz w:val="18"/>
      <w:szCs w:val="18"/>
      <w:lang w:bidi="he-IL"/>
    </w:rPr>
  </w:style>
  <w:style w:type="character" w:customStyle="1" w:styleId="8">
    <w:name w:val="页脚 Char"/>
    <w:basedOn w:val="6"/>
    <w:link w:val="2"/>
    <w:qFormat/>
    <w:uiPriority w:val="99"/>
    <w:rPr>
      <w:rFonts w:ascii="Times New Roman" w:hAnsi="Times New Roman" w:eastAsia="仿宋_GB2312" w:cs="Times New Roman"/>
      <w:spacing w:val="-6"/>
      <w:sz w:val="18"/>
      <w:szCs w:val="18"/>
      <w:lang w:bidi="he-IL"/>
    </w:rPr>
  </w:style>
  <w:style w:type="paragraph" w:styleId="9">
    <w:name w:val="No Spacing"/>
    <w:link w:val="10"/>
    <w:qFormat/>
    <w:uiPriority w:val="1"/>
    <w:rPr>
      <w:rFonts w:asciiTheme="minorHAnsi" w:hAnsiTheme="minorHAnsi" w:eastAsiaTheme="minorEastAsia" w:cstheme="minorBidi"/>
      <w:kern w:val="0"/>
      <w:sz w:val="22"/>
      <w:szCs w:val="22"/>
      <w:lang w:val="en-US" w:eastAsia="zh-CN" w:bidi="ar-SA"/>
    </w:rPr>
  </w:style>
  <w:style w:type="character" w:customStyle="1" w:styleId="10">
    <w:name w:val="无间隔 Char"/>
    <w:basedOn w:val="6"/>
    <w:link w:val="9"/>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2663</Words>
  <Characters>2689</Characters>
  <Lines>29</Lines>
  <Paragraphs>8</Paragraphs>
  <TotalTime>1</TotalTime>
  <ScaleCrop>false</ScaleCrop>
  <LinksUpToDate>false</LinksUpToDate>
  <CharactersWithSpaces>2768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2018-01-13T17:00:00Z</dcterms:created>
  <dc:creator>市建筑协会办公电脑</dc:creator>
  <cp:lastModifiedBy>Administrator</cp:lastModifiedBy>
  <cp:lastPrinted>2025-02-19T02:42:00Z</cp:lastPrinted>
  <dcterms:modified xsi:type="dcterms:W3CDTF">2025-04-22T07:00:49Z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3116C42F47ED48F4BC2B78D213AB7BD4_13</vt:lpwstr>
  </property>
  <property fmtid="{D5CDD505-2E9C-101B-9397-08002B2CF9AE}" pid="4" name="KSOTemplateDocerSaveRecord">
    <vt:lpwstr>eyJoZGlkIjoiNjQ3ZmQwNmRkODZmYTJkOWE4MjM5ZTUwNDc2N2U1NzQifQ==</vt:lpwstr>
  </property>
</Properties>
</file>